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75 KAGB — Zustimmungspflichtige Geschäfte</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OGAW-Kapitalverwaltungsgesellschaft darf die nachstehenden Geschäfte nur mit Zustimmung der Verwahrstelle durchführen:</w:t>
      </w:r>
    </w:p>
    <w:p>
      <w:pPr>
        <w:ind w:left="420"/>
      </w:pPr>
      <w:r>
        <w:t xml:space="preserve">1. die Aufnahme von Krediten nach Maßgabe des § 199, soweit es sich nicht um valutarische Überziehungen handelt,</w:t>
      </w:r>
    </w:p>
    <w:p>
      <w:pPr>
        <w:ind w:left="420"/>
      </w:pPr>
      <w:r>
        <w:t xml:space="preserve">2. die Anlage von Mitteln des inländischen OGAW in Bankguthaben bei anderen Kreditinstituten sowie Verfügungen über solche Bankguthaben.</w:t>
      </w:r>
    </w:p>
    <w:p>
      <w:r>
        <w:t xml:space="preserve">(2) Die Verwahrstelle hat den Geschäften nach Absatz 1 zuzustimmen, wenn diese den dort genannten Anforderungen entsprechen und mit den weiteren Vorschriften dieses Gesetzes und mit den Anlagebedingungen übereinstimmen. Stimmt sie einer Verfügung zu, obwohl die Bedingungen von Satz 1 nicht erfüllt sind, berührt dies nicht die Wirksamkeit der Verfügung. Eine Verfügung ohne Zustimmung der Verwahrstelle ist gegenüber den Anlegern unwirksam. Die Vorschriften zugunsten derjenigen, welche Rechte von einem Nichtberechtigten herleiten, sind entsprechend anzuwenden.</w:t>
      </w:r>
    </w:p>
    <w:p>
      <w:r>
        <w:rPr>
          <w:color w:val="555555"/>
          <w:sz w:val="17"/>
        </w:rPr>
        <w:t xml:space="preserve">Zitiervorschlag: § 75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https://recht.nulegal.eu/gesetze/KAGB/75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