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KAGB — Unterverwahrung</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Die Verwahrstelle kann die Verwahraufgaben nach § 72 unter den folgenden Bedingungen auf ein anderes Unternehmen (Unterverwahrer) auslagern:</w:t>
      </w:r>
    </w:p>
    <w:p>
      <w:pPr>
        <w:ind w:left="420"/>
      </w:pPr>
      <w:r>
        <w:t xml:space="preserve">1. die Aufgaben werden nicht in der Absicht übertragen, die Vorschriften dieses Gesetzes zu umgehen;</w:t>
      </w:r>
    </w:p>
    <w:p>
      <w:pPr>
        <w:ind w:left="420"/>
      </w:pPr>
      <w:r>
        <w:t xml:space="preserve">2. die Verwahrstelle kann darlegen, dass es einen objektiven Grund für die Unterverwahrung gibt;</w:t>
      </w:r>
    </w:p>
    <w:p>
      <w:pPr>
        <w:ind w:left="420"/>
      </w:pPr>
      <w:r>
        <w:t xml:space="preserve">3. die Verwahrstelle geht mit der gebotenen Sachkenntnis, Sorgfalt und Gewissenhaftigkeit vor</w:t>
      </w:r>
    </w:p>
    <w:p>
      <w:pPr>
        <w:ind w:left="780"/>
      </w:pPr>
      <w:r>
        <w:t xml:space="preserve">a) bei der Auswahl und Bestellung eines Unterverwahrers, dem sie Teile ihrer Aufgaben übertragen möchte, es sei denn, bei diesem Unterverwahrer handelt es sich um einen Zentralverwahrer, der in seiner Eigenschaft als Zentralverwahrer auf Investorenseite im Sinne des auf der Grundlage von Artikel 29 Absatz 3 und Artikel 48 Absatz 10 der Verordnung (EU) Nr. 909/2014 angenommenen delegierten Rechtsakts handelt, und</w:t>
      </w:r>
    </w:p>
    <w:p>
      <w:pPr>
        <w:ind w:left="780"/>
      </w:pPr>
      <w:r>
        <w:t xml:space="preserve">b) bei der laufenden Kontrolle und regelmäßigen Überprüfung von Unterverwahrern, denen sie Teile ihrer Aufgaben übertragen hat, und von Vorkehrungen des Unterverwahrers hinsichtlich der ihm übertragenen Aufgaben;</w:t>
      </w:r>
    </w:p>
    <w:p>
      <w:pPr>
        <w:ind w:left="420"/>
      </w:pPr>
      <w:r>
        <w:t xml:space="preserve">4. die Verwahrstelle stellt sicher, dass der Unterverwahrer jederzeit bei der Ausführung der ihm übertragenen Aufgaben die folgenden Bedingungen einhält:</w:t>
      </w:r>
    </w:p>
    <w:p>
      <w:pPr>
        <w:ind w:left="780"/>
      </w:pPr>
      <w:r>
        <w:t xml:space="preserve">a) der Unterverwahrer verfügt über eine Organisationsstruktur und die Fachkenntnisse, die für die Art und die Komplexität der ihm anvertrauten Vermögensgegenstände des inländischen OGAW oder der für dessen Rechnung handelnden OGAW-Verwaltungsgesellschaft angemessen und geeignet sind,</w:t>
      </w:r>
    </w:p>
    <w:p>
      <w:pPr>
        <w:ind w:left="780"/>
      </w:pPr>
      <w:r>
        <w:t xml:space="preserve">b) in Bezug auf die Verwahraufgaben nach § 72 Absatz 1 Nummer 1 unterliegt der Unterverwahrer einer wirksamen Regulierung der Aufsichtsanforderungen, einschließlich Mindesteigenkapitalanforderungen, und einer Aufsicht in der betreffenden Jurisdiktion sowie einer regelmäßigen externen Rechnungsprüfung durch die sichergestellt wird, dass sich die Finanzinstrumente in seinem Besitz befinden,</w:t>
      </w:r>
    </w:p>
    <w:p>
      <w:pPr>
        <w:ind w:left="780"/>
      </w:pPr>
      <w:r>
        <w:t xml:space="preserve">c) der Unterverwahrer trennt die Vermögensgegenstände der Kunden der Verwahrstelle von seinen eigenen Vermögensgegenständen und von den Vermögensgegenständen der Verwahrstelle in einer solchen Weise, dass sie zu jeder Zeit eindeutig den Kunden einer bestimmten Verwahrstelle zugeordnet werden können,</w:t>
      </w:r>
    </w:p>
    <w:p>
      <w:pPr>
        <w:ind w:left="780"/>
      </w:pPr>
      <w:r>
        <w:t xml:space="preserve">d) der Unterverwahrer unternimmt alle notwendigen Schritte, um zu gewährleisten, dass im Fall seiner Insolvenz die von ihm unterverwahrten Vermögensgegenstände des inländischen OGAW nicht an seine Gläubiger ausgeschüttet oder zu deren Gunsten verwendet werden können,</w:t>
      </w:r>
    </w:p>
    <w:p>
      <w:pPr>
        <w:ind w:left="780"/>
      </w:pPr>
      <w:r>
        <w:t xml:space="preserve">e) der Unterverwahrer hält die Pflichten und Verbote nach § 68 Absatz 1 Satz 2 und 3 und nach den §§ 70 und 72 ein.</w:t>
      </w:r>
    </w:p>
    <w:p>
      <w:r>
        <w:t xml:space="preserve">(2) Wenn nach den Rechtsvorschriften eines Drittstaates vorgeschrieben ist, dass bestimmte Finanzinstrumente von einer ortsansässigen Einrichtung verwahrt werden müssen und wenn es keine ortsansässigen Einrichtungen gibt, die die Anforderungen für eine Beauftragung nach Absatz 1 Nummer 4 Buchstabe b erfüllen, dass der Unterverwahrer in Bezug auf die Verwahraufgaben nach § 72 Absatz 1 Nummer 1 einer wirksamen Regulierung der Aufsichtsanforderungen, einschließlich Mindesteigenkapitalanforderungen, und einer Aufsicht in der betreffenden Jurisdiktion unterliegt, darf die Verwahrstelle ihre Verwahraufgaben an eine solche ortsansässige Einrichtung nur insoweit und so lange übertragen, als es von dem Recht des Drittstaates gefordert wird und es keine ortsansässigen Einrichtungen gibt, die die Anforderungen für eine Unterverwahrung erfüllen; der erste Halbsatz gilt vorbehaltlich der folgenden Bedingungen:</w:t>
      </w:r>
    </w:p>
    <w:p>
      <w:pPr>
        <w:ind w:left="420"/>
      </w:pPr>
      <w:r>
        <w:t xml:space="preserve">1. die OGAW-Verwaltungsgesellschaft hat die Anleger des jeweiligen inländischen OGAW vor Tätigung ihrer Anlage ordnungsgemäß unterrichtet</w:t>
      </w:r>
    </w:p>
    <w:p>
      <w:pPr>
        <w:ind w:left="780"/>
      </w:pPr>
      <w:r>
        <w:t xml:space="preserve">a) darüber, dass eine solche Unterverwahrung auf Grund rechtlicher Vorgaben im Recht des Drittstaates erforderlich ist,</w:t>
      </w:r>
    </w:p>
    <w:p>
      <w:pPr>
        <w:ind w:left="780"/>
      </w:pPr>
      <w:r>
        <w:t xml:space="preserve">b) über die Risiken, die mit einer solchen Übertragung verbunden sind, und</w:t>
      </w:r>
    </w:p>
    <w:p>
      <w:pPr>
        <w:ind w:left="780"/>
      </w:pPr>
      <w:r>
        <w:t xml:space="preserve">c) über die Umstände, die die Übertragung rechtfertigen und</w:t>
      </w:r>
    </w:p>
    <w:p>
      <w:pPr>
        <w:ind w:left="420"/>
      </w:pPr>
      <w:r>
        <w:t xml:space="preserve">2. der inländische OGAW oder die für Rechnung des inländischen OGAW tätige OGAW-Verwaltungsgesellschaft muss die Verwahrstelle anweisen, die Verwahrung dieser Finanzinstrumente einer solchen ortsansässigen Einrichtung zu übertragen.</w:t>
      </w:r>
    </w:p>
    <w:p>
      <w:r>
        <w:t xml:space="preserve">(3) Der Unterverwahrer kann unter den Voraussetzungen nach den Absätzen 1 und 2 die Verwahraufgaben nach § 72 auf ein anderes Unternehmen unterauslagern. § 77 Absatz 3 und 4 gilt entsprechend für die jeweils Beteiligten.</w:t>
      </w:r>
    </w:p>
    <w:p>
      <w:r>
        <w:t xml:space="preserve">(4) Mit Ausnahme der Verwahraufgaben nach § 72 darf die Verwahrstelle ihre nach diesem Unterabschnitt festgelegten Aufgaben nicht auslagern.</w:t>
      </w:r>
    </w:p>
    <w:p>
      <w:r>
        <w:t xml:space="preserve">(5) Für die Zwecke dieses Paragraphen wird die Erbringung von Dienstleistungen durch einen Zentralverwahrer, der in seiner Eigenschaft als Zentralverwahrer auf Emittentenseite im Sinne des auf der Grundlage von Artikel 29 Absatz 3 und Artikel 48 Absatz 10 der Verordnung (EU) Nr. 909/2014 angenommenen delegierten Rechtsakts handelt, nicht als Auslagerung von Verwahraufgaben der Verwahrstelle betrachtet. Für die Zwecke dieses Paragraphen gilt die Erbringung von Dienstleistungen durch einen Zentralverwahrer, der in seiner Eigenschaft als Zentralverwahrer auf Investorenseite im Sinne des entsprechenden delegierten Rechtsakts handelt, als Auslagerung von Verwahraufgaben der Verwahrstelle.</w:t>
      </w:r>
    </w:p>
    <w:p>
      <w:r>
        <w:t xml:space="preserve">(6) Für nähere Einzelheiten zu den Pflichten einer Verwahrstelle nach Absatz 1 Nummer 3 sowie zu der Trennungspflicht nach Absatz 1 Nummer 4 Buchstabe c wird auf Artikel 15 Absatz 1 bis 8 und Artikel 16 der Delegierten Verordnung (EU) 2016/438 verwiesen. Für nähere Einzelheiten zu den notwendigen Schritten, die der Unterverwahrer sowie die ein Unternehmen, auf das der Unterverwahrer Verwahraufgaben nach Absatz 3 unterausgelagert hat, nach Absatz 1 Nummer 4 Buchstabe d unternehmen muss, wird auf Artikel 17 der Delegierten Verordnung (EU) 2016/438 verwiesen. Für nähere Einzelheiten zu den Pflichten der Verwahrstelle zur Sicherstellung, dass der Unterverwahrer die Bedingungen nach Absatz 1 Nummer 4 Buchstabe d einhält, wird auf Artikel 15 Absatz 1 bis 8, die Artikel 16 und 17 der Delegierten Verordnung (EU) 2016/438 verwiesen.</w:t>
      </w:r>
    </w:p>
    <w:p>
      <w:r>
        <w:rPr>
          <w:color w:val="555555"/>
          <w:sz w:val="17"/>
        </w:rPr>
        <w:t xml:space="preserve">Zitiervorschlag: § 73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