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KAGB — Verwahrung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Verwahrstelle hat die Vermögensgegenstände des inländischen OGAW oder der für Rechnung des inländischen OGAW handelnden OGAW-Verwaltungsgesellschaft wie folgt zu verwahren:</w:t>
      </w:r>
    </w:p>
    <w:p>
      <w:pPr>
        <w:ind w:left="420"/>
      </w:pPr>
      <w:r>
        <w:t xml:space="preserve">1. für Finanzinstrumente im Sinne des Anhangs I Abschnitt C der Richtlinie 2014/65/EU des Europäischen Parlaments und des Rates vom 15. Mai 2014 über Märkte für Finanzinstrumente sowie zur Änderung der Richtlinien 2002/92/EG und 2011/61/EU (ABl. L 173 vom 12.6.2014, S. 349), die in Verwahrung genommen werden können, gilt:</w:t>
      </w:r>
    </w:p>
    <w:p>
      <w:pPr>
        <w:ind w:left="780"/>
      </w:pPr>
      <w:r>
        <w:t xml:space="preserve">a) die Verwahrstelle verwahrt sämtliche Finanzinstrumente, die im Depot auf einem Konto für Finanzinstrumente verbucht werden können, und sämtliche Finanzinstrumente, die der Verwahrstelle physisch übergeben werden können;</w:t>
      </w:r>
    </w:p>
    <w:p>
      <w:pPr>
        <w:ind w:left="780"/>
      </w:pPr>
      <w:r>
        <w:t xml:space="preserve">b) die Verwahrstelle stellt sicher, dass alle Finanzinstrumente, die im Depot auf einem Konto für Finanzinstrumente verbucht werden können, nach den in Artikel 16 der Richtlinie 2006/73/EG der Kommission vom 10. August 2006 zur Durchführung der Richtlinie 2014/65/EU des Europäischen Parlaments und des Rates in Bezug auf die organisatorischen Anforderungen an Wertpapierfirmen und die Bedingungen für die Ausübung ihrer Tätigkeit sowie in Bezug auf die Definition bestimmter Begriffe für die Zwecke der genannten Richtlinie (ABl. L 241 vom 2.9.2006, S. 26) festgelegten Grundsätzen in den Büchern der Verwahrstelle auf gesonderten Konten, die im Namen des inländischen OGAW oder der für ihn tätigen OGAW-Verwaltungsgesellschaft eröffnet wurden, registriert werden, sodass die Finanzinstrumente jederzeit nach geltendem Recht eindeutig als zum inländischen OGAW gehörend identifiziert werden können;</w:t>
      </w:r>
    </w:p>
    <w:p>
      <w:pPr>
        <w:ind w:left="420"/>
      </w:pPr>
      <w:r>
        <w:t xml:space="preserve">2. für sonstige Vermögensgegenstände gilt:</w:t>
      </w:r>
    </w:p>
    <w:p>
      <w:pPr>
        <w:ind w:left="780"/>
      </w:pPr>
      <w:r>
        <w:t xml:space="preserve">a) die Verwahrstelle prüft das Eigentum des inländischen OGAW oder der für Rechnung des inländischen OGAW tätigen OGAW-Verwaltungsgesellschaft an solchen Vermögensgegenständen und führt Aufzeichnungen derjenigen Vermögensgegenstände, bei denen sie sich vergewissert hat, dass der inländische OGAW oder die für Rechnung des inländischen OGAW tätige OGAW-Verwaltungsgesellschaft an diesen Vermögensgegenständen das Eigentum hat;</w:t>
      </w:r>
    </w:p>
    <w:p>
      <w:pPr>
        <w:ind w:left="780"/>
      </w:pPr>
      <w:r>
        <w:t xml:space="preserve">b) die Beurteilung, ob der inländische OGAW oder die für Rechnung des inländischen OGAW tätige OGAW-Verwaltungsgesellschaft Eigentümer ist, beruht auf Informationen oder Unterlagen, die vom inländischen OGAW oder von der OGAW-Verwaltungsgesellschaft vorgelegt werden und, soweit verfügbar, auf externen Nachweisen;</w:t>
      </w:r>
    </w:p>
    <w:p>
      <w:pPr>
        <w:ind w:left="780"/>
      </w:pPr>
      <w:r>
        <w:t xml:space="preserve">c) die Verwahrstelle hält ihre Aufzeichnungen auf dem neuesten Stand;</w:t>
      </w:r>
    </w:p>
    <w:p>
      <w:pPr>
        <w:ind w:left="420"/>
      </w:pPr>
      <w:r>
        <w:t xml:space="preserve">3. die Verwahrstelle übermittelt der OGAW-Verwaltungsgesellschaft regelmäßig eine umfassende Aufstellung sämtlicher Vermögensgegenstände des inländischen OGAW.</w:t>
      </w:r>
    </w:p>
    <w:p>
      <w:r>
        <w:t xml:space="preserve">(2) Die zum inländischen OGAW gehörenden Guthaben nach § 195 sind auf Sperrkonten zu verwahren. Die Verwahrstelle ist berechtigt und verpflichtet, auf Anweisung der OGAW-Verwaltungsgesellschaft auf den Sperrkonten vorhandene Guthaben nach § 195</w:t>
      </w:r>
    </w:p>
    <w:p>
      <w:pPr>
        <w:ind w:left="420"/>
      </w:pPr>
      <w:r>
        <w:t xml:space="preserve">1. auf andere Sperrkonten bei Kreditinstituten mit Sitz in einem Mitgliedstaat der Europäischen Union oder einem anderen Vertragsstaat des Abkommens über den Europäischen Wirtschaftsraum oder</w:t>
      </w:r>
    </w:p>
    <w:p>
      <w:pPr>
        <w:ind w:left="420"/>
      </w:pPr>
      <w:r>
        <w:t xml:space="preserve">2. auf andere Sperrkonten bei Kreditinstituten mit Sitz in Drittstaaten, deren Aufsichtsbestimmungen nach Auffassung der Bundesanstalt denjenigen des Rechts der Europäischen Union gleichwertig sind,</w:t>
      </w:r>
    </w:p>
    <w:p>
      <w:r>
        <w:t xml:space="preserve">zu übertragen.</w:t>
      </w:r>
    </w:p>
    <w:p>
      <w:r>
        <w:t xml:space="preserve">(3) Für nähere Einzelheiten zu den Verwahrpflichten nach Absatz 1 wird auf die Artikel 12 bis 14 der Delegierten Verordnung (EU) 2016/438 verwiesen.</w:t>
      </w:r>
    </w:p>
    <w:p>
      <w:r>
        <w:rPr>
          <w:color w:val="555555"/>
          <w:sz w:val="17"/>
        </w:rPr>
        <w:t xml:space="preserve">Zitiervorschlag: § 72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