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KAGB — Sofortige Vollziehbarkeit</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Widerspruch und Anfechtungsklage gegen Maßnahmen der Bundesanstalt einschließlich der Androhung und Festsetzung von Zwangsmitteln auf der Grundlage von § 5 Absatz 5a und 15, der §§ 6, 14, 15, 16 und 19 Absatz 2 und 3, von § 36 Absatz 5a, der §§ 39, 40, 40a, 41, 42 und 44 Absatz 5, von § 68 Absatz 7, § 113 Absatz 2 und 3, § 311 Absatz 1 und 3 Satz 1 Nummer 1, § 314 Absatz 1 und 2, § 329 Absatz 2 Satz 3 Nummer 2 Buchstabe c und § 330 Absatz 2 Satz 3 Nummer 2 Buchstabe c haben keine aufschiebende Wirkung.</w:t>
      </w:r>
    </w:p>
    <w:p>
      <w:r>
        <w:t xml:space="preserve">(2) Ergreift die Bundesanstalt gemäß den §§ 5, 11 Absatz 4 oder 6, § 311 Absatz 1 und 3 Satz 1 Nummer 1, § 314, § 316 Absatz 3 Satz 2 auch in Verbindung mit § 320 Absatz 2 oder § 330 Absatz 4, oder gemäß § 321 Absatz 3 Satz 2 auch in Verbindung mit § 322 Absatz 4, § 325 Absatz 2, § 326 Absatz 3 oder § 329 Absatz 4 zum Schutz der Anleger Maßnahmen, einschließlich einer Untersagung des Vertriebs von Anteilen oder Aktien an AIF, die im Geltungsbereich dieses Gesetzes vertrieben werden, haben Widerspruch und Anfechtungsklage gegen diese Maßnahmen einschließlich der Androhung und Festsetzung von Zwangsmitteln ebenfalls keine aufschiebende Wirkung.</w:t>
      </w:r>
    </w:p>
    <w:p>
      <w:r>
        <w:rPr>
          <w:color w:val="555555"/>
          <w:sz w:val="17"/>
        </w:rPr>
        <w:t xml:space="preserve">Zitiervorschlag: § 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