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KAGB — Inländische Zweigniederlassung und grenzüberschreitender Dienstleistungsverkehr von ausländischen AIF-Verwaltungsgesellschaften, deren Referenzmitgliedstaat nicht die Bundesrepublik Deutschland ist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10.09.2021 (konsolidierte Textfassung, kein amtliches Inkrafttretensdatum)</w:t>
      </w:r>
    </w:p>
    <w:p>
      <w:r>
        <w:t xml:space="preserve">(1) Beabsichtigt eine ausländische AIF-Verwaltungsgesellschaft, deren Referenzmitgliedstaat nicht die Bundesrepublik Deutschland ist, erstmals im Wege des grenzüberschreitenden Dienstleistungsverkehrs oder über eine Zweigniederlassung inländische Spezial-AIF zu verwalten, so ist dies nur zulässig, wenn die zuständigen Stellen des Referenzmitgliedstaates der ausländischen AIF-Verwaltungsgesellschaft der Bundesanstalt folgende Angaben und Unterlagen übermittelt haben:</w:t>
      </w:r>
    </w:p>
    <w:p>
      <w:pPr>
        <w:ind w:left="420"/>
      </w:pPr>
      <w:r>
        <w:t xml:space="preserve">1. eine Bescheinigung darüber, dass die ausländische AIF-Verwaltungsgesellschaft eine Zulassung gemäß der Richtlinie 2011/61/EU erhalten hat, durch die die im Inland beabsichtigten Tätigkeiten abgedeckt sind,</w:t>
      </w:r>
    </w:p>
    <w:p>
      <w:pPr>
        <w:ind w:left="420"/>
      </w:pPr>
      <w:r>
        <w:t xml:space="preserve">2. die Anzeige der Absicht der ausländischen AIF-Verwaltungsgesellschaft, in der Bundesrepublik Deutschland im Wege des grenzüberschreitenden Dienstleistungsverkehrs oder über eine Zweigniederlassung inländische Spezial-AIF zu verwalten sowie</w:t>
      </w:r>
    </w:p>
    <w:p>
      <w:pPr>
        <w:ind w:left="420"/>
      </w:pPr>
      <w:r>
        <w:t xml:space="preserve">3. einen Geschäftsplan, aus dem insbesondere hervorgeht, welche inländischen Spezial-AIF die ausländische AIF-Verwaltungsgesellschaft zu verwalten beabsichtigt.</w:t>
      </w:r>
    </w:p>
    <w:p>
      <w:r>
        <w:t xml:space="preserve">(2) Beabsichtigt die ausländische AIF-Verwaltungsgesellschaft die Errichtung einer Zweigniederlassung, so ist dies nur zulässig, wenn die zuständigen Stellen des Referenzmitgliedsstaates der Bundesanstalt zusätzlich zu den Angaben nach Absatz 1 folgende Informationen übermittelt haben:</w:t>
      </w:r>
    </w:p>
    <w:p>
      <w:pPr>
        <w:ind w:left="420"/>
      </w:pPr>
      <w:r>
        <w:t xml:space="preserve">1. den organisatorischen Aufbau der Zweigniederlassung,</w:t>
      </w:r>
    </w:p>
    <w:p>
      <w:pPr>
        <w:ind w:left="420"/>
      </w:pPr>
      <w:r>
        <w:t xml:space="preserve">2. die Anschrift, unter der im Inland Unterlagen angefordert werden können sowie</w:t>
      </w:r>
    </w:p>
    <w:p>
      <w:pPr>
        <w:ind w:left="420"/>
      </w:pPr>
      <w:r>
        <w:t xml:space="preserve">3. die Namen und Kontaktangaben der Geschäftsführer der Zweigniederlassung.</w:t>
      </w:r>
    </w:p>
    <w:p>
      <w:r>
        <w:t xml:space="preserve">(3) Die ausländische AIF-Verwaltungsgesellschaft kann unmittelbar nach dem Erhalt der Übermittlungsmeldung durch ihren Referenzmitgliedstaat gemäß Artikel 41 Absatz 4 der Richtlinie 2011/61/EU mit der Verwaltung von inländischen Spezial-AIF im Inland beginnen.</w:t>
      </w:r>
    </w:p>
    <w:p>
      <w:r>
        <w:t xml:space="preserve">(4) Auf die Zweigniederlassungen im Sinne des Absatzes 1 sind § 3 Absatz 1, 4 und 5, die §§ 14, 26 Absatz 2, 3 und 7, § 27 Absatz 1 bis 4, § 28 Absatz 1 Satz 4, die §§ 33, 34 Absatz 3 Nummer 8 sowie die §§ 293, 295 Absatz 5, §§ 307 und 308 entsprechend anzuwenden. Auf die Tätigkeiten im Wege des grenzüberschreitenden Dienstleistungsverkehrs nach Absatz 1 Satz 1 sind die §§ 14, 293, 295 Absatz 5, §§ 307 und 308 entsprechend anzuwenden.</w:t>
      </w:r>
    </w:p>
    <w:p>
      <w:r>
        <w:t xml:space="preserve">(5) Auf die Tätigkeit einer ausländischen AIF-Verwaltungsgesellschaft, deren Referenzmitgliedstaat nicht die Bundesrepublik Deutschland ist und die inländische Spezial-AIF verwaltet, sind ungeachtet der Anforderungen nach Absatz 4 die §§ 80 bis 161 und 273 bis 292c entsprechend anzuwenden.</w:t>
      </w:r>
    </w:p>
    <w:p>
      <w:r>
        <w:rPr>
          <w:color w:val="555555"/>
          <w:sz w:val="17"/>
        </w:rPr>
        <w:t xml:space="preserve">Zitiervorschlag: § 66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https://recht.nulegal.eu/gesetze/KAGB/66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