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KAGB — Verwaltung von EU-AIF durch ausländische AIF-Verwaltungsgesellschaften, für die die Bundesrepublik Deutschland Referenzmitgliedstaat ist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10.09.2021 (konsolidierte Textfassung, kein amtliches Inkrafttretensdatum)</w:t>
      </w:r>
    </w:p>
    <w:p>
      <w:r>
        <w:t xml:space="preserve">(1) Die Verwaltung eines EU-AIF durch eine ausländische AIF-Verwaltungsgesellschaft, für die die Bundesrepublik Deutschland gemäß § 56 Referenzmitgliedsstaat ist und die über eine Erlaubnis nach § 58 verfügt, im Wege des grenzüberschreitenden Dienstleistungsverkehrs oder über eine Zweigniederlassung setzt voraus, dass sie der Bundesanstalt folgende Angaben übermittelt hat:</w:t>
      </w:r>
    </w:p>
    <w:p>
      <w:pPr>
        <w:ind w:left="420"/>
      </w:pPr>
      <w:r>
        <w:t xml:space="preserve">1. den Mitgliedstaat der Europäischen Union oder den Vertragsstaat des Abkommens über den Europäischen Wirtschaftsraum, in dem sie EU-AIF im Wege des grenzüberschreitenden Dienstleistungsverkehrs oder über eine Zweigniederlassung zu verwalten beabsichtigt;</w:t>
      </w:r>
    </w:p>
    <w:p>
      <w:pPr>
        <w:ind w:left="420"/>
      </w:pPr>
      <w:r>
        <w:t xml:space="preserve">2. einen Geschäftsplan, aus dem insbesondere hervorgeht, welche Arten von EU-AIF sie zu verwalten beabsichtigt.</w:t>
      </w:r>
    </w:p>
    <w:p>
      <w:r>
        <w:t xml:space="preserve">(2) Die Errichtung einer Zweigniederlassung durch eine ausländische AIF-Verwaltungsgesellschaft in einem anderen Mitgliedstaat der Europäischen Union oder einem anderen Vertragsstaat des Abkommens über den Europäischen Wirtschaftsraum setzt voraus, dass sie der Bundesanstalt zusätzlich zu den Angaben nach Absatz 1 folgende Informationen übermittelt hat:</w:t>
      </w:r>
    </w:p>
    <w:p>
      <w:pPr>
        <w:ind w:left="420"/>
      </w:pPr>
      <w:r>
        <w:t xml:space="preserve">1. den organisatorischen Aufbau der Zweigniederlassung,</w:t>
      </w:r>
    </w:p>
    <w:p>
      <w:pPr>
        <w:ind w:left="420"/>
      </w:pPr>
      <w:r>
        <w:t xml:space="preserve">2. die Anschrift, unter der im Herkunftsmitgliedstaat des EU-AIF Unterlagen angefordert werden können sowie</w:t>
      </w:r>
    </w:p>
    <w:p>
      <w:pPr>
        <w:ind w:left="420"/>
      </w:pPr>
      <w:r>
        <w:t xml:space="preserve">3. die Namen und Kontaktangaben der Geschäftsführer der Zweigniederlassung.</w:t>
      </w:r>
    </w:p>
    <w:p>
      <w:r>
        <w:t xml:space="preserve">(3) Besteht kein Grund zur Annahme, dass die ausländische AIF-Verwaltungsgesellschaft oder die Verwaltung des EU-AIF durch diese gegen dieses Gesetz verstößt oder verstoßen wird, übermittelt die Bundesanstalt die vollständigen Unterlagen binnen eines Monats nach dem Eingang der vollständigen Unterlagen nach Absatz 1 oder gegebenenfalls binnen zwei Monaten nach dem Eingang der vollständigen Unterlagen nach Absatz 2 zusammen mit einer Bescheinigung über die Erlaubnis der betreffenden ausländischen AIF-Verwaltungsgesellschaft an die zuständigen Stellen des Aufnahmemitgliedstaates der ausländischen AIF-Verwaltungsgesellschaft.</w:t>
      </w:r>
    </w:p>
    <w:p>
      <w:r>
        <w:t xml:space="preserve">(4) Die Bundesanstalt unterrichtet die ausländische AIF-Verwaltungsgesellschaft unverzüglich über die Übermittlung der Unterlagen. Die ausländische AIF-Verwaltungsgesellschaft darf erst nach Eingang der Übermittlungsmeldung mit der Verwaltung von EU-AIF im jeweiligen Aufnahmemitgliedstaat beginnen. Die Bundesanstalt teilt zudem der Europäischen Wertpapier- und Marktaufsichtsbehörde mit, dass die ausländische AIF-Verwaltungsgesellschaft in den jeweiligen Aufnahmemitgliedstaaten mit der Verwaltung des EU-AIF beginnen kann.</w:t>
      </w:r>
    </w:p>
    <w:p>
      <w:r>
        <w:t xml:space="preserve">(5) Eine Änderung der nach Absatz 1 oder gegebenenfalls nach Absatz 2 übermittelten Angaben hat die ausländische AIF-Verwaltungsgesellschaft der Bundesanstalt mindestens einen Monat vor der Durchführung der Änderung, oder, bei ungeplanten Änderungen, unverzüglich nach Eintreten der Änderung, anzuzeigen.</w:t>
      </w:r>
    </w:p>
    <w:p>
      <w:r>
        <w:t xml:space="preserve">(6) Sollte die geplante Änderung dazu führen, dass die ausländische AIF-Verwaltungsgesellschaft oder die Verwaltung des EU-AIF durch diese nunmehr gegen dieses Gesetz verstößt, untersagt die Bundesanstalt der ausländischen AIF-Verwaltungsgesellschaft unverzüglich die Änderung.</w:t>
      </w:r>
    </w:p>
    <w:p>
      <w:r>
        <w:t xml:space="preserve">(7) Wird eine geplante Änderung ungeachtet der Absätze 5 und 6 durchgeführt oder führt eine durch einen ungeplanten Umstand ausgelöste Änderung dazu, dass die ausländische AIF-Verwaltungsgesellschaft oder die Verwaltung des EU-AIF durch diese nunmehr gegen dieses Gesetz verstößt, so ergreift die Bundesanstalt alle erforderlichen Maßnahmen.</w:t>
      </w:r>
    </w:p>
    <w:p>
      <w:r>
        <w:t xml:space="preserve">(8) Über Änderungen, die im Einklang mit diesem Gesetz stehen, unterrichtet die Bundesanstalt unverzüglich die zuständigen Behörden des Aufnahmemitgliedstaates der ausländischen AIF-Verwaltungsgesellschaft von diesen Änderungen.</w:t>
      </w:r>
    </w:p>
    <w:p>
      <w:r>
        <w:rPr>
          <w:color w:val="555555"/>
          <w:sz w:val="17"/>
        </w:rPr>
        <w:t xml:space="preserve">Zitiervorschlag: § 65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