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KAGB — Vergleichende Analyse der Zulassung von und der Aufsicht über ausländische AIF-Verwaltungsgesellschaften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Sofern die Europäische Wertpapier- und Marktaufsichtsbehörde nach Artikel 38 Absatz 4 der Richtlinie 2011/61/EU Leitlinien und Empfehlungen herausgibt, um einheitliche, effiziente und wirksame Praktiken für die Aufsicht über ausländische AIF-Verwaltungsgesellschaften zu schaffen, unternimmt die Bundesanstalt alle erforderlichen Anstrengungen, um diesen Leitlinien und Empfehlungen nachzukommen.</w:t>
      </w:r>
    </w:p>
    <w:p>
      <w:r>
        <w:t xml:space="preserve">(2) Die Bundesanstalt bestätigt binnen zwei Monaten nach der Herausgabe einer Leitlinie oder Empfehlung, ob sie dieser Leitlinie oder Empfehlung nachkommt oder nachzukommen beabsichtigt. Wenn sie der Leitlinie oder Empfehlung nicht nachkommt oder nachzukommen beabsichtigt, teilt sie dies der Europäischen Wertpapier- und Marktaufsichtsbehörde unter Angabe der Gründe mit.</w:t>
      </w:r>
    </w:p>
    <w:p>
      <w:r>
        <w:rPr>
          <w:color w:val="555555"/>
          <w:sz w:val="17"/>
        </w:rPr>
        <w:t xml:space="preserve">Zitiervorschlag: § 64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