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KAGB — Verweismöglichkeiten der Bundesanstalt an die Europäische Wertpapier- und Marktaufsichtsbehörde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Bundesanstalt kann die folgenden Angelegenheiten der Europäischen Wertpapier- und Marktaufsichtsbehörde zur Kenntnis bringen, die im Rahmen der ihr durch Artikel 19 der Verordnung (EU) Nr. 1095/2010 übertragenen Befugnisse tätig werden kann:</w:t>
      </w:r>
    </w:p>
    <w:p>
      <w:pPr>
        <w:ind w:left="420"/>
      </w:pPr>
      <w:r>
        <w:t xml:space="preserve">1. wenn die Bundesanstalt nicht mit der Entscheidung einer ausländischen AIF-Verwaltungsgesellschaft hinsichtlich ihres Referenzmitgliedstaates einverstanden ist,</w:t>
      </w:r>
    </w:p>
    <w:p>
      <w:pPr>
        <w:ind w:left="420"/>
      </w:pPr>
      <w:r>
        <w:t xml:space="preserve">2. wenn die Bundesanstalt nicht mit der Bewertung der Anwendung von Artikel 37 Absatz 7 Unterabsatz 1 Buchstabe a bis e und g der Richtlinie 2011/61/EU durch die zuständigen Stellen des Referenzmitgliedstaates einer ausländischen AIF-Verwaltungsgesellschaft einverstanden ist,</w:t>
      </w:r>
    </w:p>
    <w:p>
      <w:pPr>
        <w:ind w:left="420"/>
      </w:pPr>
      <w:r>
        <w:t xml:space="preserve">3. wenn eine für einen EU-AIF zuständige Stelle die gemäß Artikel 37 Absatz 7 Unterabsatz 1 Buchstabe d der Richtlinie 2011/61/EU geforderten Vereinbarungen über Zusammenarbeit nicht innerhalb eines angemessenen Zeitraums abschließt,</w:t>
      </w:r>
    </w:p>
    <w:p>
      <w:pPr>
        <w:ind w:left="420"/>
      </w:pPr>
      <w:r>
        <w:t xml:space="preserve">4. wenn die Bundesanstalt nicht mit einer von den zuständigen Stellen des Referenzmitgliedstaates einer ausländischen AIF-Verwaltungsgesellschaft erteilten Zulassung einverstanden ist,</w:t>
      </w:r>
    </w:p>
    <w:p>
      <w:pPr>
        <w:ind w:left="420"/>
      </w:pPr>
      <w:r>
        <w:t xml:space="preserve">5. wenn die Bundesanstalt nicht mit der Bewertung der Anwendung von Artikel 37 Absatz 9 der Richtlinie 2011/61/EU durch die zuständigen Stellen des Referenzmitgliedstaates einer ausländischen AIF-Verwaltungsgesellschaft einverstanden ist,</w:t>
      </w:r>
    </w:p>
    <w:p>
      <w:pPr>
        <w:ind w:left="420"/>
      </w:pPr>
      <w:r>
        <w:t xml:space="preserve">6. wenn die Bundesanstalt nicht mit der Beurteilung hinsichtlich der Festlegung des Referenzmitgliedstaates nach Artikel 37 Absatz 11 oder Absatz 12 der Richtlinie 2011/61/EU einverstanden ist,</w:t>
      </w:r>
    </w:p>
    <w:p>
      <w:pPr>
        <w:ind w:left="420"/>
      </w:pPr>
      <w:r>
        <w:t xml:space="preserve">7. wenn eine zuständige Stelle einen Antrag auf Informationsaustausch gemäß den auf Grundlage von Artikel 37 Absatz 17 der Richtlinie 2011/61/EU von der Europäischen Kommission erlassenen technischen Regulierungsstandards ablehnt.</w:t>
      </w:r>
    </w:p>
    <w:p>
      <w:r>
        <w:rPr>
          <w:color w:val="555555"/>
          <w:sz w:val="17"/>
        </w:rPr>
        <w:t xml:space="preserve">Zitiervorschlag: § 63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