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KAGB — Rechtsstreitigkeiten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Sofern die Bundesrepublik Deutschland Referenzmitgliedstaat einer ausländischen AIF-Verwaltungsgesellschaft ist oder als solcher in Betracht kommt, werden alle zwischen der Bundesanstalt und der ausländischen AIF-Verwaltungsgesellschaft auftretenden Streitigkeiten nach deutschem Recht beigelegt und unterliegen deutscher Gerichtsbarkeit.</w:t>
      </w:r>
    </w:p>
    <w:p>
      <w:r>
        <w:t xml:space="preserve">(2) Alle Streitigkeiten, die zwischen der ausländischen AIF-Verwaltungsgesellschaft oder dem AIF einerseits und Anlegern des jeweiligen AIF, die ihren Sitz in der Europäischen Union oder in einem Vertragsstaat des Abkommens über den Europäischen Wirtschaftsraum haben, andererseits auftreten, werden nach dem Recht des jeweiligen Mitgliedstaates der Europäischen Union oder des Vertragsstaates des Abkommens über den Europäischen Wirtschaftsraum beigelegt, in dem der Anleger seinen Sitz hat und unterliegen dessen Gerichtsbarkeit.</w:t>
      </w:r>
    </w:p>
    <w:p>
      <w:r>
        <w:rPr>
          <w:color w:val="555555"/>
          <w:sz w:val="17"/>
        </w:rPr>
        <w:t xml:space="preserve">Zitiervorschlag: § 62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