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KAGB — Unterrichtung der Europäischen Wertpapier- und Marktaufsichtsbehörde im Hinblick auf die Erlaubnis einer ausländischen AIF-Verwaltungsgesellschaft durch die Bundesanstalt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unterrichtet die Europäische Wertpapier- und Marktaufsichtsbehörde unverzüglich über das Ergebnis des Erlaubnisverfahrens, über Änderungen hinsichtlich der Erlaubnis der ausländischen AIF-Verwaltungsgesellschaft und über einen Entzug der Erlaubnis.</w:t>
      </w:r>
    </w:p>
    <w:p>
      <w:r>
        <w:t xml:space="preserve">(2) Die Bundesanstalt unterrichtet die Europäische Wertpapier- und Marktaufsichtsbehörde von den Erlaubnisanträgen, die sie abgelehnt hat und legt dabei Angaben zu den ausländischen AIF-Verwaltungsgesellschaften, die eine Erlaubnis beantragt haben sowie die Gründe für die Ablehnung vor. Wenn die Europäische Wertpapier- und Marktaufsichtsbehörde, die ein zentrales Verzeichnis dieser Angaben führt, Informationen aus diesem Verzeichnis der Bundesanstalt auf Anfrage zur Verfügung gestellt hat, behandelt die Bundesanstalt diese Informationen vertraulich.</w:t>
      </w:r>
    </w:p>
    <w:p>
      <w:r>
        <w:rPr>
          <w:color w:val="555555"/>
          <w:sz w:val="17"/>
        </w:rPr>
        <w:t xml:space="preserve">Zitiervorschlag: § 60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