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KAGB — Befreiung einer ausländischen AIF-Verwaltungsgesellschaft von Bestimmungen der Richtlinie 2011/61/EU</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Ist die Bundesanstalt der Auffassung, dass die ausländische AIF-Verwaltungsgesellschaft gemäß § 57 Absatz 2 Satz 2 von der Einhaltung bestimmter Vorschriften der Richtlinie 2011/61/EU befreit werden kann, so setzt sie die Europäische Wertpapier-und Marktaufsichtsbehörde hiervon unverzüglich in Kenntnis. Zur Begründung dieser Beurteilung zieht sie die von der ausländischen AIF-Verwaltungsgesellschaft gemäß § 58 Absatz 9 Nummer 1 Buchstabe b und c vorgelegten Angaben heran.</w:t>
      </w:r>
    </w:p>
    <w:p>
      <w:r>
        <w:t xml:space="preserve">(2) Innerhalb eines Monats nach Eingang der Mitteilung nach Absatz 1 spricht die Europäische Wertpapier- und Marktaufsichtsbehörde eine an die Bundesanstalt gerichtete Empfehlung hinsichtlich der Anwendung der Ausnahme von der Einhaltung der Richtlinie 2011/61/EU auf Grund der Unvereinbarkeit gemäß § 57 Absatz 2 Satz 2 aus. Während der Überprüfung durch die Europäische Wertpapier- und Marktaufsichtsbehörde gemäß Artikel 37 Absatz 9 Unterabsatz 2 der Richtlinie 2011/61/EU wird die Frist nach § 22 Absatz 2 Satz 1 oder 2 gehemmt.</w:t>
      </w:r>
    </w:p>
    <w:p>
      <w:r>
        <w:t xml:space="preserve">(3) Wenn die Bundesanstalt entgegen der Empfehlung der Europäischen Wertpapier- und Marktaufsichtsbehörde gemäß Absatz 2 vorschlägt, die Erlaubnis zu erteilen, setzt sie die Europäische Wertpapier- und Marktaufsichtsbehörde davon unter Angabe ihrer Gründe in Kenntnis.</w:t>
      </w:r>
    </w:p>
    <w:p>
      <w:r>
        <w:t xml:space="preserve">(4) Wenn die Bundesanstalt entgegen der Empfehlung der Europäischen Wertpapier- und Marktaufsichtsbehörde gemäß Absatz 2 vorschlägt, die Erlaubnis zu erteilen und die ausländische AIF-Verwaltungsgesellschaft beabsichtigt, Anteile von durch sie verwalteten AIF in anderen Mitgliedstaaten der Europäischen Union oder Vertragsstaaten des Abkommens über den Europäischen Wirtschaftsraum als der Bundesrepublik Deutschland zu vertreiben, setzt die Bundesanstalt davon auch die zuständigen Stellen der betreffenden Mitgliedstaaten der Europäischen Union oder Vertragsstaaten des Abkommens über den Europäischen Wirtschaftsraum unter Angabe ihrer Gründe in Kenntnis.</w:t>
      </w:r>
    </w:p>
    <w:p>
      <w:r>
        <w:rPr>
          <w:color w:val="555555"/>
          <w:sz w:val="17"/>
        </w:rPr>
        <w:t xml:space="preserve">Zitiervorschlag: § 59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