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KAGB — Erteilung der Erlaubnis für eine ausländische AIF-Verwaltungsgesellschaft</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Beabsichtigt eine ausländische AIF-Verwaltungsgesellschaft, inländische Spezial-AIF oder EU-AIF zu verwalten oder von ihr verwaltete AIF gemäß Artikel 39 oder 40 der Richtlinie 2011/61/EU in den Mitgliedstaaten der Europäischen Union oder Vertragsstaaten des Abkommens über den Europäischen Wirtschaftsraum zu vertreiben und gibt sie die Bundesrepublik Deutschland als Referenzmitgliedstaat an, hat sie bei der Bundesanstalt einen Antrag auf Erteilung einer Erlaubnis zu stellen.</w:t>
      </w:r>
    </w:p>
    <w:p>
      <w:r>
        <w:t xml:space="preserve">(2) Nach Eingang eines Antrags auf Erteilung einer Erlaubnis gemäß Absatz 1 beurteilt die Bundesanstalt, ob die Entscheidung der ausländischen AIF-Verwaltungsgesellschaft hinsichtlich ihres Referenzmitgliedstaates die Kriterien gemäß § 56 einhält. Ist dies nicht der Fall, lehnt sie den Antrag der ausländischen AIF-Verwaltungsgesellschaft auf Erteilung einer Erlaubnis unter Angabe der Gründe für die Ablehnung ab. Sind die Kriterien gemäß § 56 eingehalten worden, führt die Bundesanstalt das Verfahren nach den Absätzen 3 bis 6 durch.</w:t>
      </w:r>
    </w:p>
    <w:p>
      <w:r>
        <w:t xml:space="preserve">(3) Ist die Bundesanstalt der Auffassung, dass die Entscheidung einer ausländischen AIF-Verwaltungsgesellschaft hinsichtlich ihres Referenzmitgliedstaates die Kriterien gemäß Artikel 37 Absatz 4 der Richtlinie 2011/61/EU einhält, setzt sie die Europäische Wertpapier- und Marktaufsichtsbehörde von diesem Umstand in Kenntnis und ersucht sie, eine Empfehlung zu ihrer Beurteilung auszusprechen. In ihrer Mitteilung an die Europäische Wertpapier- und Marktaufsichtsbehörde legt die Bundesanstalt der Europäischen Wertpapier- und Marktaufsichtsbehörde die Begründung der ausländischen AIF-Verwaltungsgesellschaft für deren Entscheidung hinsichtlich des Referenzmitgliedstaates und Informationen über die Vertriebsstrategie der ausländischen AIF-Verwaltungsgesellschaft vor.</w:t>
      </w:r>
    </w:p>
    <w:p>
      <w:r>
        <w:t xml:space="preserve">(4) Innerhalb eines Monats nach Eingang der Mitteilung gemäß Absatz 3 spricht die Europäische Wertpapier- und Marktaufsichtsbehörde eine an die Bundesanstalt gerichtete Empfehlung zu deren Beurteilung hinsichtlich des Referenzmitgliedstaates gemäß den in Artikel 37 Absatz 4 der Richtlinie 2011/61/EU genannten Kriterien aus. Während die Europäische Wertpapier- und Marktaufsichtsbehörde gemäß Artikel 37 Absatz 5 Unterabsatz 3 der Richtlinie 2011/61/EU die Beurteilung der Bundesanstalt prüft, wird die Frist nach § 22 Absatz 2 Satz 1 oder 2 gehemmt.</w:t>
      </w:r>
    </w:p>
    <w:p>
      <w:r>
        <w:t xml:space="preserve">(5) Schlägt die Bundesanstalt entgegen der Empfehlung der Europäischen Wertpapier- und Marktaufsichtsbehörde gemäß Absatz 4 vor, die Erlaubnis als Referenzmitgliedstaat zu erteilen, setzt sie die Europäische Wertpapier- und Marktaufsichtsbehörde davon unter Angabe ihrer Gründe in Kenntnis.</w:t>
      </w:r>
    </w:p>
    <w:p>
      <w:r>
        <w:t xml:space="preserve">(6) Wenn die Bundesanstalt entgegen der Empfehlung der Europäischen Wertpapier- und Marktaufsichtsbehörde gemäß Absatz 4 vorschlägt, die Erlaubnis als Referenzmitgliedstaat zu erteilen und die ausländische AIF-Verwaltungsgesellschaft beabsichtigt, Anteile von durch sie verwalteten AIF in anderen Mitgliedstaaten der Europäischen Union oder in anderen Vertragsstaaten des Abkommens über den Europäischen Wirtschaftsraum als der Bundesrepublik Deutschland zu vertreiben, setzt die Bundesanstalt davon auch die zuständigen Stellen der betreffenden Mitgliedstaaten der Europäischen Union und der betreffenden Vertragsstaaten des Abkommens über den Europäischen Wirtschaftsraum unter Angabe ihrer Gründe in Kenntnis. Gegebenenfalls setzt die Bundesanstalt davon auch die zuständigen Stellen der Herkunftsmitgliedstaaten der von der ausländischen AIF-Verwaltungsgesellschaft verwalteten AIF unter Angabe ihrer Gründe in Kenntnis.</w:t>
      </w:r>
    </w:p>
    <w:p>
      <w:r>
        <w:t xml:space="preserve">(7) Unbeschadet des Absatzes 9 erteilt die Bundesanstalt die Erlaubnis erst dann, wenn die folgenden zusätzlichen Bedingungen eingehalten sind:</w:t>
      </w:r>
    </w:p>
    <w:p>
      <w:pPr>
        <w:ind w:left="420"/>
      </w:pPr>
      <w:r>
        <w:t xml:space="preserve">1. die Bundesrepublik Deutschland wird als Referenzmitgliedstaat von der ausländischen AIF-Verwaltungsgesellschaft gemäß den Kriterien nach § 56 angegeben und durch die Offenlegung der Vertriebsstrategie bestätigt und das Verfahren gemäß den Absätzen 3 bis 6 wurde von der Bundesanstalt durchgeführt;</w:t>
      </w:r>
    </w:p>
    <w:p>
      <w:pPr>
        <w:ind w:left="420"/>
      </w:pPr>
      <w:r>
        <w:t xml:space="preserve">2. die ausländische AIF-Verwaltungsgesellschaft hat einen gesetzlichen Vertreter mit Sitz in der Bundesrepublik Deutschland ernannt;</w:t>
      </w:r>
    </w:p>
    <w:p>
      <w:pPr>
        <w:ind w:left="420"/>
      </w:pPr>
      <w:r>
        <w:t xml:space="preserve">3. der gesetzliche Vertreter ist, zusammen mit der ausländischen AIF-Verwaltungsgesellschaft, die Kontaktperson der ausländischen AIF-Verwaltungsgesellschaft für die Anleger der betreffenden AIF, für die Europäische Wertpapier- und Marktaufsichtsbehörde und für die zuständigen Stellen im Hinblick auf die Tätigkeiten, für die die ausländische AIF-Verwaltungsgesellschaft in den Mitgliedstaaten der Europäischen Union oder Vertragsstaaten des Abkommens über den Europäischen Wirtschaftsraum eine Erlaubnis hat und er ist zumindest hinreichend ausgestattet, um die Compliance-Funktion gemäß der Richtlinie 2011/61/EU wahrnehmen zu können;</w:t>
      </w:r>
    </w:p>
    <w:p>
      <w:pPr>
        <w:ind w:left="420"/>
      </w:pPr>
      <w:r>
        <w:t xml:space="preserve">4. es bestehen geeignete Vereinbarungen über die Zusammenarbeit zwischen der Bundesanstalt, den zuständigen Stellen des Herkunftsmitgliedstaates der betreffenden EU-AIF und den Aufsichtsbehörden des Drittstaates, in dem die ausländische AIF-Verwaltungsgesellschaft ihren satzungsmäßigen Sitz hat, damit zumindest ein effizienter Informationsaustausch gewährleistet ist, der es den zuständigen Stellen ermöglicht, ihre Aufgaben gemäß der Richtlinie 2011/61/EU wahrzunehmen;</w:t>
      </w:r>
    </w:p>
    <w:p>
      <w:pPr>
        <w:ind w:left="420"/>
      </w:pPr>
      <w:r>
        <w:t xml:space="preserve">5. der Drittstaat, in dem die ausländische AIF-Verwaltungsgesellschaft ihren Sitz hat, ist nicht als Drittstaat mit hohem Risiko nach Artikel 9 Absatz 2 der Richtlinie (EU) 2015/849 eingestuft;</w:t>
      </w:r>
    </w:p>
    <w:p>
      <w:pPr>
        <w:ind w:left="420"/>
      </w:pPr>
      <w:r>
        <w:t xml:space="preserve">6. der Drittstaat, in dem die ausländische AIF-Verwaltungsgesellschaft ihren satzungsmäßigen Sitz hat, hat mit der Bundesrepublik Deutschland eine Vereinbarung unterzeichnet, die den Standards gemäß Artikel 26 des OECD-Musterabkommens zur Vermeidung der Doppelbesteuerung von Einkommen und Vermögen vollständig entspricht und einen wirksamen Informationsaustausch in Steuerangelegenheiten, gegebenenfalls einschließlich multilateraler Abkommen über die Besteuerung, gewährleistet, und dieser Drittstaat ist nicht in Anhang I der Schlussfolgerungen des Rates zur überarbeiteten EU-Liste nicht kooperativer Länder und Gebiete für Steuerzwecke aufgeführt;</w:t>
      </w:r>
    </w:p>
    <w:p>
      <w:pPr>
        <w:ind w:left="420"/>
      </w:pPr>
      <w:r>
        <w:t xml:space="preserve">7. die auf ausländische AIF-Verwaltungsgesellschaften anwendbaren Rechts- und Verwaltungsvorschriften eines Drittstaates oder die Beschränkungen der Aufsichts- und Ermittlungsbefugnisse der Aufsichtsbehörden dieses Drittstaates hindern die zuständigen Stellen nicht an der effektiven Wahrnehmung ihrer Aufsichtsfunktionen gemäß der Richtlinie 2011/61/EU.</w:t>
      </w:r>
    </w:p>
    <w:p>
      <w:r>
        <w:t xml:space="preserve">(8) Die in Absatz 7 Nummer 4 genannten Vereinbarungen über Zusammenarbeit werden durch die Artikel 113 bis 115 der Delegierten Verordnung (EU) Nr. 231/2013 sowie durch die Leitlinien der Europäischen Wertpapier- und Marktaufsichtsbehörde konkretisiert.</w:t>
      </w:r>
    </w:p>
    <w:p>
      <w:r>
        <w:t xml:space="preserve">(9) Die Erlaubnis durch die Bundesanstalt wird im Einklang mit den für die Erlaubnis von AIF-Kapitalverwaltungsgesellschaften geltenden Vorschriften dieses Gesetzes erteilt. Diese gelten vorbehaltlich folgender Kriterien entsprechend:</w:t>
      </w:r>
    </w:p>
    <w:p>
      <w:pPr>
        <w:ind w:left="420"/>
      </w:pPr>
      <w:r>
        <w:t xml:space="preserve">1. die Angaben gemäß § 22 Absatz 1 Nummer 1 bis 9 werden durch folgende Angaben und Unterlagen ergänzt:</w:t>
      </w:r>
    </w:p>
    <w:p>
      <w:pPr>
        <w:ind w:left="780"/>
      </w:pPr>
      <w:r>
        <w:t xml:space="preserve">a) eine Begründung der ausländischen AIF-Verwaltungsgesellschaft für die von ihr vorgenommene Beurteilung bezüglich des Referenzmitgliedstaates gemäß den Kriterien nach Artikel 37 Absatz 4 der Richtlinie 2011/61/EU sowie Angaben zur Vertriebsstrategie;</w:t>
      </w:r>
    </w:p>
    <w:p>
      <w:pPr>
        <w:ind w:left="780"/>
      </w:pPr>
      <w:r>
        <w:t xml:space="preserve">b) eine Liste der Bestimmungen der Richtlinie 2011/61/EU, deren Einhaltung der ausländischen AIF-Verwaltungsgesellschaft unmöglich ist, da ihre Einhaltung durch die ausländische AIF-Verwaltungsgesellschaft gemäß § 57 Absatz 2 Satz 2 nicht vereinbar ist mit der Einhaltung einer zwingenden Rechtsvorschrift des Drittstaates, der die ausländische AIF-Verwaltungsgesellschaft oder der in den Mitgliedstaaten der Europäischen Union oder Vertragsstaaten des Abkommens über den Europäischen Wirtschaftsraum vertriebene ausländische AIF unterliegt;</w:t>
      </w:r>
    </w:p>
    <w:p>
      <w:pPr>
        <w:ind w:left="780"/>
      </w:pPr>
      <w:r>
        <w:t xml:space="preserve">c) Belege in Textform auf der Grundlage der von der Europäischen Wertpapier- und Marktaufsichtsbehörde ausgearbeiteten technischen Regulierungsstandards gemäß Artikel 37 Absatz 23 Buchstabe b der Richtlinie 2011/61/EU, dass die betreffenden Rechtsvorschriften des Drittstaates Vorschriften enthalten, die den Vorschriften, die nicht eingehalten werden können, gleichwertig sind, denselben regulatorischen Zweck verfolgen und den Anlegern der betreffenden AIF dasselbe Maß an Schutz bieten und dass die ausländische AIF-Verwaltungsgesellschaft sich an diese gleichwertigen Vorschriften hält; diese Belege in Textform werden durch ein Rechtsgutachten zum Bestehen der betreffenden inkompatiblen zwingenden Vorschrift im Recht des Drittstaates untermauert, das auch eine Beschreibung des Regulierungszwecks und der Merkmale des Anlegerschutzes enthält, die mit der Vorschrift angestrebt werden, und</w:t>
      </w:r>
    </w:p>
    <w:p>
      <w:pPr>
        <w:ind w:left="780"/>
      </w:pPr>
      <w:r>
        <w:t xml:space="preserve">d) den Namen des gesetzlichen Vertreters der ausländischen AIF-Verwaltungsgesellschaft und den Ort, an dem er seinen Sitz hat;</w:t>
      </w:r>
    </w:p>
    <w:p>
      <w:pPr>
        <w:ind w:left="420"/>
      </w:pPr>
      <w:r>
        <w:t xml:space="preserve">2. die Angaben gemäß § 22 Absatz 1 Nummer 10 bis 14 können beschränkt werden auf die inländischen Spezial-AIF oder EU-AIF, die die ausländische AIF-Verwaltungsgesellschaft zu verwalten beabsichtigt, und auf die von der ausländischen AIF-Verwaltungsgesellschaft verwalteten AIF, die sie mit einem Pass in den Mitgliedstaaten der Europäischen Union oder Vertragsstaaten des Abkommens über den Europäischen Wirtschaftsraum zu vertreiben beabsichtigt;</w:t>
      </w:r>
    </w:p>
    <w:p>
      <w:pPr>
        <w:ind w:left="420"/>
      </w:pPr>
      <w:r>
        <w:t xml:space="preserve">3. § 23 Nummer 7 findet keine Anwendung;</w:t>
      </w:r>
    </w:p>
    <w:p>
      <w:pPr>
        <w:ind w:left="420"/>
      </w:pPr>
      <w:r>
        <w:t xml:space="preserve">4. ein Erlaubnisantrag gilt als vollständig, wenn zusätzlich zu den in § 22 Absatz 3 genannten Angaben und Verweisen die Angaben gemäß Nummer 1 vorgelegt wurden;</w:t>
      </w:r>
    </w:p>
    <w:p>
      <w:pPr>
        <w:ind w:left="420"/>
      </w:pPr>
      <w:r>
        <w:t xml:space="preserve">5. die Bundesanstalt beschränkt die Erlaubnis in Bezug auf die Verwaltung von inländischen AIF auf die Verwaltung von inländischen Spezial-AIF; in Bezug auf die Verwaltung von EU-AIF kann die Bundesanstalt die Erlaubnis auf die Verwaltung von bestimmten Arten von EU-AIF und auf Spezial-EU-AIF beschränken.</w:t>
      </w:r>
    </w:p>
    <w:p>
      <w:r>
        <w:t xml:space="preserve">(10) Hinsichtlich des Erlöschens oder der Aufhebung der Erlaubnis einer ausländischen AIF-Verwaltungsgesellschaft gilt § 39 entsprechend.</w:t>
      </w:r>
    </w:p>
    <w:p>
      <w:r>
        <w:t xml:space="preserve">(11) Ausländische AIF-Verwaltungsgesellschaften, denen die Bundesanstalt die Erlaubnis nach den Vorschriften dieses Gesetzes erteilt hat, haben die für AIF-Kapitalverwaltungsgesellschaften, die Spezial-AIF verwalten, geltenden Vorschriften entsprechend einzuhalten, soweit sich aus diesem Gesetz nichts anderes ergibt.</w:t>
      </w:r>
    </w:p>
    <w:p>
      <w:r>
        <w:t xml:space="preserve">(12) Wird ein Drittstaat, in dem die ausländische AIF-Verwaltungsgesellschaft ihren Sitz hat, entsprechend Absatz 7 Nummer 5 als Drittstaat mit hohem Risiko nach Artikel 9 Absatz 2 der Richtlinie (EU) 2015/849 eingestuft oder entsprechend Absatz 7 Nummer 6 in den Anhang I der Schlussfolgerungen des Rates zur überarbeiteten EU-Liste nicht kooperativer Länder und Gebiete für Steuerzwecke nach der Zulassung der ausländischen AIF-Verwaltungsgesellschaft aufgenommen, so ergreift die ausländische AIF-Verwaltungsgesellschaft innerhalb einer angemessenen Frist die erforderlichen Maßnahmen, um die Situation in Bezug auf die von ihr verwalteten AIF zu bereinigen, wobei sie den Interessen der Anleger gebührend Rechnung zu tragen hat. Diese Frist beträgt höchstens zwei Jahre.</w:t>
      </w:r>
    </w:p>
    <w:p>
      <w:r>
        <w:rPr>
          <w:color w:val="555555"/>
          <w:sz w:val="17"/>
        </w:rPr>
        <w:t xml:space="preserve">Zitiervorschlag: § 58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