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KAGB — Bedingungen für AIF-Kapitalverwaltungsgesellschaften, welche ausländische AIF verwalten, die weder in den Mitgliedstaaten der Europäischen Union noch in den Vertragsstaaten des Abkommens über den Europäischen Wirtschaftsraum vertrieben werden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Verwaltung von ausländischen AIF, die weder in den Mitgliedstaaten der Europäischen Union noch in den Vertragsstaaten des Abkommens über den Europäischen Wirtschaftsraum vertrieben werden, durch eine nach diesem Gesetz zugelassene AIF-Kapitalverwaltungsgesellschaft ist zulässig, wenn</w:t>
      </w:r>
    </w:p>
    <w:p>
      <w:pPr>
        <w:ind w:left="420"/>
      </w:pPr>
      <w:r>
        <w:t xml:space="preserve">1. die AIF-Kapitalverwaltungsgesellschaft alle in der Richtlinie 2011/61/EU für diese AIF festgelegten Anforderungen mit Ausnahme der Anforderungen der §§ 67 und 80 bis 90 erfüllt und</w:t>
      </w:r>
    </w:p>
    <w:p>
      <w:pPr>
        <w:ind w:left="420"/>
      </w:pPr>
      <w:r>
        <w:t xml:space="preserve">2. geeignete Vereinbarungen über die Zusammenarbeit zwischen der Bundesanstalt und den Aufsichtsbehörden des Drittstaates bestehen, in dem der ausländische AIF seinen Sitz hat, durch die ein effizienter Informationsaustausch gewährleistet wird, der es der Bundesanstalt ermöglicht, ihre Aufgaben nach diesem Gesetz wahrzunehmen.</w:t>
      </w:r>
    </w:p>
    <w:p>
      <w:r>
        <w:t xml:space="preserve">(2) Nähere Bestimmungen zu den in Absatz 1 Nummer 2 genannten Vereinbarungen über die Zusammenarbeit richten sich nach den Artikeln 113 bis 115 der Delegierten Verordnung (EU) Nr. 231/2013 sowie nach den Leitlinien der Europäischen Wertpapier- und Marktaufsichtsbehörde.</w:t>
      </w:r>
    </w:p>
    <w:p>
      <w:r>
        <w:rPr>
          <w:color w:val="555555"/>
          <w:sz w:val="17"/>
        </w:rPr>
        <w:t xml:space="preserve">Zitiervorschlag: § 55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