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KAGB — Besonderheiten für die Verwaltung inländischer OGAW durch EU-OGAW-Verwaltungsgesellschaften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Die Verwaltung eines inländischen OGAW durch eine EU-OGAW-Verwaltungsgesellschaft über eine Zweigniederlassung oder im Wege des grenzüberschreitenden Dienstleistungsverkehrs setzt voraus, dass die zuständigen Stellen des Herkunftsmitgliedstaates der EU-OGAW-Verwaltungsgesellschaft der Anzeige nach § 51 Absatz 1 Satz 1 eine Bescheinigung darüber beigefügt haben, dass die EU-OGAW-Verwaltungsgesellschaft in ihrem Herkunftsmitgliedstaat eine Zulassung gemäß der Richtlinie 2009/65/EG erhalten hat, eine Beschreibung des Umfangs dieser Zulassung sowie Einzelheiten darüber, auf welche Arten von OGAW diese Zulassung beschränkt ist. Die EU-OGAW-Verwaltungsgesellschaft hat der Bundesanstalt darüber hinaus folgende Unterlagen zu übermitteln:</w:t>
      </w:r>
    </w:p>
    <w:p>
      <w:pPr>
        <w:ind w:left="420"/>
      </w:pPr>
      <w:r>
        <w:t xml:space="preserve">1. die in Textform geschlossene Vereinbarung mit der Verwahrstelle im Sinne des Artikels 22 Absatz 2 der Richtlinie 2009/65/EG und</w:t>
      </w:r>
    </w:p>
    <w:p>
      <w:pPr>
        <w:ind w:left="420"/>
      </w:pPr>
      <w:r>
        <w:t xml:space="preserve">2. Angaben nach Artikel 3 der Delegierten Verordnung (EU) 2024/911.</w:t>
      </w:r>
    </w:p>
    <w:p>
      <w:r>
        <w:t xml:space="preserve">Verwaltet die EU-OGAW-Verwaltungsgesellschaft bereits inländische OGAW der gleichen Art, ist ein Hinweis auf die bereits übermittelten Unterlagen ausreichend, sofern sich keine Änderungen ergeben. Die §§ 162 und 163 bleiben unberührt. Satz 2 findet keine Anwendung, sofern die EU-OGAW-Verwaltungsgesellschaft im Inland lediglich EU-OGAW vertreiben will.</w:t>
      </w:r>
    </w:p>
    <w:p>
      <w:r>
        <w:t xml:space="preserve">(2) Soweit es die Ausübung der Aufsicht über die EU-OGAW-Verwaltungsgesellschaft bei der Verwaltung eines inländischen OGAW erfordert, kann die Bundesanstalt von den zuständigen Stellen des Herkunftsmitgliedstaates der EU-OGAW-Verwaltungsgesellschaft Erläuterungen zu den Unterlagen nach Absatz 1 anfordern sowie auf Grundlage der Bescheinigung nach Absatz 1 Satz 1 Auskünfte darüber anfordern, ob die Art des inländischen OGAW, dessen Verwaltung beabsichtigt ist, von der Zulassung der EU-OGAW-Verwaltungsgesellschaft erfasst ist.</w:t>
      </w:r>
    </w:p>
    <w:p>
      <w:r>
        <w:t xml:space="preserve">(3) Die EU-OGAW-Verwaltungsgesellschaft hat der Bundesanstalt alle nachfolgenden inhaltlichen Änderungen zu den Unterlagen nach Absatz 1 Satz 2 unter Beachtung von Artikel 4 der Delegierten Verordnung (EU) 2024/911 unmittelbar mitzuteilen.</w:t>
      </w:r>
    </w:p>
    <w:p>
      <w:r>
        <w:t xml:space="preserve">(4) Die Bundesanstalt kann die Verwaltung eines inländischen OGAW untersagen, wenn</w:t>
      </w:r>
    </w:p>
    <w:p>
      <w:pPr>
        <w:ind w:left="420"/>
      </w:pPr>
      <w:r>
        <w:t xml:space="preserve">1. die EU-OGAW-Verwaltungsgesellschaft den Anforderungen des Artikels 19 Absatz 3 und 4 der Richtlinie 2009/65/EG nicht entspricht,</w:t>
      </w:r>
    </w:p>
    <w:p>
      <w:pPr>
        <w:ind w:left="420"/>
      </w:pPr>
      <w:r>
        <w:t xml:space="preserve">2. die EU-OGAW-Verwaltungsgesellschaft von den zuständigen Stellen ihres Herkunftsmitgliedstaates keine Zulassung zur Verwaltung der Art von OGAW erhalten hat, deren Verwaltung im Inland beabsichtigt wird, oder</w:t>
      </w:r>
    </w:p>
    <w:p>
      <w:pPr>
        <w:ind w:left="420"/>
      </w:pPr>
      <w:r>
        <w:t xml:space="preserve">3. die EU-OGAW-Verwaltungsgesellschaft die Unterlagen nach Absatz 1 nicht eingereicht hat.</w:t>
      </w:r>
    </w:p>
    <w:p>
      <w:r>
        <w:t xml:space="preserve">Vor einer Untersagung hat die Bundesanstalt die zuständigen Stellen des Herkunftsmitgliedstaates der EU-OGAW-Verwaltungsgesellschaft anzuhören.</w:t>
      </w:r>
    </w:p>
    <w:p>
      <w:r>
        <w:t xml:space="preserve">(5) Auf die Tätigkeit einer EU-OGAW-Verwaltungsgesellschaft, die inländische OGAW verwaltet, sind ungeachtet der Anforderungen nach § 51 Absatz 4 die §§ 68 bis 79, 91 bis 123, 162 bis 213, 293, 294, 301 bis 306, 312 bis 313a entsprechend anzuwenden.</w:t>
      </w:r>
    </w:p>
    <w:p>
      <w:r>
        <w:rPr>
          <w:color w:val="555555"/>
          <w:sz w:val="17"/>
        </w:rPr>
        <w:t xml:space="preserve">Zitiervorschlag: § 52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