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KAGB — Jahresabschluss und Lagebericht von extern verwalteten kreditvergebenden Spezial-AIF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Bei einem extern verwalteten inländischen kreditvergebenden Spezial-AIF, der von einer AIF-Kapitalverwaltungsgesellschaft, die die Voraussetzungen des § 2 Absatz 4 Satz 2 erfüllt, verwaltet wird, für den § 44 Absatz 1 Nummer 7 Satz 2 bis 5 nicht anzuwenden ist, sind für den Jahresabschluss die Bestimmungen des Ersten Unterabschnitts des Zweiten Abschnitts des Dritten Buches des Handelsgesetzbuchs und für den Lagebericht die Bestimmungen des § 289 des Handelsgesetzbuchs anzuwenden, soweit sich nichts anderes ergibt aus</w:t>
      </w:r>
    </w:p>
    <w:p>
      <w:pPr>
        <w:ind w:left="420"/>
      </w:pPr>
      <w:r>
        <w:t xml:space="preserve">1. dem entsprechend anwendbaren § 120 Absatz 2 bis 8 bei Spezial-AIF in der Rechtsform einer juristischen Person oder</w:t>
      </w:r>
    </w:p>
    <w:p>
      <w:pPr>
        <w:ind w:left="420"/>
      </w:pPr>
      <w:r>
        <w:t xml:space="preserve">2. dem entsprechend anwendbaren § 135 Absatz 3 bis 11 bei Spezial-AIF in der Rechtsform einer Personenhandelsgesellschaft.</w:t>
      </w:r>
    </w:p>
    <w:p>
      <w:r>
        <w:t xml:space="preserve">§ 264 Absatz 1 Satz 4 erster Halbsatz, Absatz 3 und 4, § 264b sowie die §§ 289b bis 289e und 289g des Handelsgesetzbuchs sind nicht anzuwenden.</w:t>
      </w:r>
    </w:p>
    <w:p>
      <w:r>
        <w:rPr>
          <w:color w:val="555555"/>
          <w:sz w:val="17"/>
        </w:rPr>
        <w:t xml:space="preserve">Zitiervorschlag: § 46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