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45a KAGB — Abschlussprüfung bei registrierungspflichtigen AIF-Kapitalverwaltungsgesellschaften;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Jahresabschluss und der Lagebericht einer Kapitalverwaltungsgesellschaft im Sinne des § 45 sind durch einen Abschlussprüfer nach Maßgabe der Bestimmungen des Dritten Unterabschnitts des Zweiten Abschnitts des Dritten Buches des Handelsgesetzbuchs zu prüfen. Die Prüfung ist spätestens vor Ablauf des neunten Monats des dem Abschlussstichtag nachfolgenden Geschäftsjahrs vorzunehmen.</w:t>
      </w:r>
    </w:p>
    <w:p>
      <w:r>
        <w:t xml:space="preserve">(2) Auf die Bestellung eines Abschlussprüfers ist § 28 des Kreditwesengesetzes mit der Maßgabe entsprechend anzuwenden, dass die dort geregelten Pflichten gegenüber der Deutschen Bundesbank nicht gelten.</w:t>
      </w:r>
    </w:p>
    <w:p>
      <w:r>
        <w:t xml:space="preserve">(3) Der Abschlussprüfer hat auch zu prüfen, ob die Kapitalverwaltungsgesellschaft die Bestimmungen dieses Gesetzes beachtet hat und ihren Verpflichtungen nach dem Geldwäschegesetz nachgekommen ist. Das Ergebnis dieser Prüfung hat der Abschlussprüfer im Prüfungsbericht gesondert wiederzugeben.</w:t>
      </w:r>
    </w:p>
    <w:p>
      <w:r>
        <w:t xml:space="preserve">(4) Bei Kapitalverwaltungsgesellschaften im Sinne von § 45 Satz 1 Nummer 1 oder 2 hat der Abschlussprüfer auch festzustellen, ob die Bestimmungen des Gesellschaftsvertrags oder der Satzung beachtet worden sind. Bei Kapitalverwaltungsgesellschaften im Sinne von § 45 Satz 1 Nummer 2 hat der Abschlussprüfer darüber hinaus die Zuweisung von Gewinnen, Verlusten, Einlagen und Entnahmen zu den einzelnen Kapitalkonten zu prüfen und deren Ordnungsmäßigkeit zu bestätigen. Dies gilt auch für den Fall, dass der Anteil am AIF für den Anleger durch einen Treuhänder gehalten wird. Die Sätze 1 bis 3 sind nicht auf Kapitalverwaltungsgesellschaften, die nach Artikel 14 der Verordnung (EU) Nr. 345/2013 oder nach Artikel 15 der Verordnung (EU) Nr. 346/2013 registriert sind, anzuwenden.</w:t>
      </w:r>
    </w:p>
    <w:p>
      <w:r>
        <w:t xml:space="preserve">(4a) Unbeschadet der besonderen Pflichten des Abschlussprüfers nach den Absätzen 3 und 4 kann die Bundesanstalt auch gegenüber der Kapitalverwaltungsgesellschaft Bestimmungen über den Inhalt der Prüfung treffen, die vom Abschlussprüfer im Rahmen der Jahresabschlussprüfung zu berücksichtigen sind. Sie kann insbesondere Schwerpunkte für die Prüfungen festlegen.</w:t>
      </w:r>
    </w:p>
    <w:p>
      <w:r>
        <w:t xml:space="preserve">(5) Der Abschlussprüfer hat den Bericht über die Prüfung der Kapitalverwaltungsgesellschaft nach Absatz 1 nach Beendigung der Prüfung unverzüglich der Bundesanstalt zu übermitteln.</w:t>
      </w:r>
    </w:p>
    <w:p>
      <w:r>
        <w:t xml:space="preserve">(6) Das Bundesministerium der Finanzen wird ermächtigt, im Einvernehmen mit dem Bundesministerium der Justiz und für Verbraucherschutz durch Rechtsverordnung, die nicht der Zustimmung des Bundesrates bedarf, nähere Bestimmungen über den Gegenstand der Prüfung nach den Absätzen 3 und 4 und über weitere Inhalte, Umfang und Darstellung des Prüfungsberichts sowie zur Art und Weise seiner Einreichung bei der Bundesanstalt zu erlassen, soweit dies zur Erfüllung der Aufgaben der Bundesanstalt erforderlich ist, insbesondere um einheitliche Unterlagen zur Beurteilung der Tätigkeit der Kapitalverwaltungsgesellschaften zu erhalten, die die Voraussetzungen von § 2 Absatz 4 Satz 2 erfüllen. Das Bundesministerium der Finanzen kann die Ermächtigung durch Rechtsverordnung auf die Bundesanstalt übertragen.</w:t>
      </w:r>
    </w:p>
    <w:p>
      <w:r>
        <w:rPr>
          <w:color w:val="555555"/>
          <w:sz w:val="17"/>
        </w:rPr>
        <w:t xml:space="preserve">Zitiervorschlag: § 45a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