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KAGB — Jahresabschluss und Lagebericht von registrierungspflichtigen AIF-Kapitalverwaltungsgesellschaften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18.04.2026 (konsolidierte Textfassung, kein amtliches Inkrafttretensdatum)</w:t>
      </w:r>
    </w:p>
    <w:p>
      <w:r>
        <w:t xml:space="preserve">Bei einer Kapitalverwaltungsgesellschaft, bei der zum einen die Voraussetzungen nach § 2 Absatz 4 Satz 2 vorliegen oder die nach Artikel 14 der Verordnung (EU) Nr. 345/2013 oder nach Artikel 15 der Verordnung (EU) Nr. 346/2013 registriert ist und auf die zum anderen § 44 Absatz 1 Nummer 7 Satz 2 bis 5 nicht anzuwenden ist, sind für den Jahresabschluss die Bestimmungen des Ersten Unterabschnitts des Zweiten Abschnitts des Dritten Buches des Handelsgesetzbuchs und für den Lagebericht die Bestimmungen des § 289 des Handelsgesetzbuchs einzuhalten, soweit sich nichts anderes ergibt aus</w:t>
      </w:r>
    </w:p>
    <w:p>
      <w:pPr>
        <w:ind w:left="420"/>
      </w:pPr>
      <w:r>
        <w:t xml:space="preserve">1. dem entsprechend anwendbaren § 120 Absatz 2 bis 8 bei internen Kapitalverwaltungsgesellschaften, die kreditvergebende AIF sind und in der Rechtsform einer juristischen Person betrieben werden, oder</w:t>
      </w:r>
    </w:p>
    <w:p>
      <w:pPr>
        <w:ind w:left="420"/>
      </w:pPr>
      <w:r>
        <w:t xml:space="preserve">2. dem entsprechend anwendbaren § 135 Absatz 3 bis 11 bei internen Kapitalverwaltungsgesellschaften, die kreditvergebende AIF sind und in der Rechtsform einer Personenhandelsgesellschaft betrieben werden.</w:t>
      </w:r>
    </w:p>
    <w:p>
      <w:r>
        <w:t xml:space="preserve">§ 264 Absatz 1 Satz 4 erster Halbsatz, Absatz 3 und 4, § 264b sowie die §§ 289b bis 289e und 289g des Handelsgesetzbuchs sind nicht anzuwenden.</w:t>
      </w:r>
    </w:p>
    <w:p>
      <w:r>
        <w:rPr>
          <w:color w:val="555555"/>
          <w:sz w:val="17"/>
        </w:rPr>
        <w:t xml:space="preserve">Zitiervorschlag: § 45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