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43 KAGB — Insolvenzantrag, Unterrichtung der Gläubiger im Insolvenzverfahren</w:t>
      </w:r>
    </w:p>
    <w:p>
      <w:r>
        <w:rPr>
          <w:color w:val="555555"/>
          <w:sz w:val="18"/>
        </w:rPr>
        <w:t xml:space="preserve">Kapitalanlagegesetzbuch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Auf den Fall der Zahlungsunfähigkeit, der Überschuldung oder der drohenden Zahlungsunfähigkeit einer Kapitalverwaltungsgesellschaft ist § 46b Absatz 1, 1a und 3 des Kreditwesengesetzes entsprechend anzuwenden.</w:t>
      </w:r>
    </w:p>
    <w:p>
      <w:r>
        <w:t xml:space="preserve">(2) Die Gläubiger sind über die Eröffnung des Insolvenzverfahrens in entsprechender Anwendung des § 46f des Kreditwesengesetzes zu unterrichten.</w:t>
      </w:r>
    </w:p>
    <w:p>
      <w:r>
        <w:rPr>
          <w:color w:val="555555"/>
          <w:sz w:val="17"/>
        </w:rPr>
        <w:t xml:space="preserve">Zitiervorschlag: § 43 KAGB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https://recht.nulegal.eu/gesetze/KAGB/43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