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KAGB — Maßnahmen bei Gefahr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kann zur Abwendung einer Gefahr in folgenden Fällen geeignete und erforderliche Maßnahmen ergreifen:</w:t>
      </w:r>
    </w:p>
    <w:p>
      <w:pPr>
        <w:ind w:left="420"/>
      </w:pPr>
      <w:r>
        <w:t xml:space="preserve">1. bei einer Gefahr für die Erfüllung der Verpflichtungen einer Kapitalverwaltungsgesellschaft gegenüber ihren Gläubigern,</w:t>
      </w:r>
    </w:p>
    <w:p>
      <w:pPr>
        <w:ind w:left="420"/>
      </w:pPr>
      <w:r>
        <w:t xml:space="preserve">2. bei einer Gefahr für die Sicherheit der Vermögensgegenstände, die der Kapitalverwaltungsgesellschaft anvertraut sind, oder</w:t>
      </w:r>
    </w:p>
    <w:p>
      <w:pPr>
        <w:ind w:left="420"/>
      </w:pPr>
      <w:r>
        <w:t xml:space="preserve">3. beim begründeten Verdacht, dass eine wirksame Aufsicht über die Kapitalverwaltungsgesellschaft nach den Bestimmungen dieses Gesetzes nicht möglich ist.</w:t>
      </w:r>
    </w:p>
    <w:p>
      <w:r>
        <w:rPr>
          <w:color w:val="555555"/>
          <w:sz w:val="17"/>
        </w:rPr>
        <w:t xml:space="preserve">Zitiervorschlag: § 42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