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KAGB — Maßnahmen bei unzureichenden Eigenmitteln</w:t>
      </w:r>
    </w:p>
    <w:p>
      <w:r>
        <w:rPr>
          <w:color w:val="555555"/>
          <w:sz w:val="18"/>
        </w:rPr>
        <w:t xml:space="preserve">Kapitalanlagegesetzbuch</w:t>
      </w:r>
    </w:p>
    <w:p>
      <w:r>
        <w:rPr>
          <w:color w:val="555555"/>
          <w:sz w:val="18"/>
        </w:rPr>
        <w:t xml:space="preserve">Stand: 26.06.2021 (konsolidierte Textfassung, kein amtliches Inkrafttretensdatum)</w:t>
      </w:r>
    </w:p>
    <w:p>
      <w:r>
        <w:t xml:space="preserve">Entsprechen bei einer Kapitalverwaltungsgesellschaft die Eigenmittel nicht den Anforderungen des § 25 oder im Fall des § 5 Absatz 2 Satz 1 nach § 5 Absatz 2 Satz 2 oder 3 dieses Gesetzes in Verbindung mit § 17 Absatz 1 Nummer 2 oder 3 des Wertpapierinstitutsgesetzes, kann die Bundesanstalt Anordnungen treffen, die geeignet und erforderlich sind, um Verstöße gegen § 25 oder im Fall des § 5 Absatz 2 Satz 1 gegen § 5 Absatz 2 Satz 2 oder 3 dieses Gesetzes in Verbindung mit § 17 Absatz 1 Nummer 2 oder 3 des Wertpapierinstitutsgesetzes zu unterbinden. Sie kann insbesondere Entnahmen durch Gesellschafter und die Ausschüttung von Gewinnen untersagen oder beschränken. Beschlüsse über die Gewinnausschüttung sind insoweit nichtig, als sie einer Anordnung nach Satz 1 widersprechen. § 45 Absatz 5 Satz 1 des Kreditwesengesetzes ist entsprechend anzuwenden.</w:t>
      </w:r>
    </w:p>
    <w:p>
      <w:r>
        <w:rPr>
          <w:color w:val="555555"/>
          <w:sz w:val="17"/>
        </w:rPr>
        <w:t xml:space="preserve">Zitiervorschlag: § 41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