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40b KAGB — Rechte und Pflichten des Sonderbeauftragten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(1) Der Sonderbeauftragte ist im Rahmen seiner Aufgaben berechtigt,</w:t>
      </w:r>
    </w:p>
    <w:p>
      <w:pPr>
        <w:ind w:left="420"/>
      </w:pPr>
      <w:r>
        <w:t xml:space="preserve">1. von den Aufsichtsorganmitgliedern, Geschäftsleitern und den Beschäftigten der Kapitalverwaltungsgesellschaft Auskünfte und die Vorlage von Unterlagen zu verlangen,</w:t>
      </w:r>
    </w:p>
    <w:p>
      <w:pPr>
        <w:ind w:left="420"/>
      </w:pPr>
      <w:r>
        <w:t xml:space="preserve">2. an allen Sitzungen und Versammlungen der Aufsichtsorgane und sonstiger Gremien der Kapitalverwaltungsgesellschaft in beratender Funktion teilzunehmen,</w:t>
      </w:r>
    </w:p>
    <w:p>
      <w:pPr>
        <w:ind w:left="420"/>
      </w:pPr>
      <w:r>
        <w:t xml:space="preserve">3. die Geschäftsräume der Kapitalverwaltungsgesellschaft zu betreten,</w:t>
      </w:r>
    </w:p>
    <w:p>
      <w:pPr>
        <w:ind w:left="420"/>
      </w:pPr>
      <w:r>
        <w:t xml:space="preserve">4. Einsicht in deren Geschäftspapiere und Bücher zu nehmen und Nachforschungen anzustellen.</w:t>
      </w:r>
    </w:p>
    <w:p>
      <w:r>
        <w:t xml:space="preserve">Die Geschäftsleiter und Aufsichtsorganmitglieder haben den Sonderbeauftragten bei der Wahrnehmung seiner Aufgaben zu unterstützen.</w:t>
      </w:r>
    </w:p>
    <w:p>
      <w:r>
        <w:t xml:space="preserve">(2) Der Sonderbeauftragte ist gegenüber der Bundesanstalt zur Auskunft über alle Erkenntnisse im Rahmen seiner Tätigkeit verpflichtet.</w:t>
      </w:r>
    </w:p>
    <w:p>
      <w:r>
        <w:rPr>
          <w:color w:val="555555"/>
          <w:sz w:val="17"/>
        </w:rPr>
        <w:t xml:space="preserve">Zitiervorschlag: § 40b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https://recht.nulegal.eu/gesetze/KAGB/40b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