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KAGB — Namensgebung; Fondskategorien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Bezeichnung des Sondervermögens, der Investmentaktiengesellschaft oder der Investmentkommanditgesellschaft darf nicht irreführen.</w:t>
      </w:r>
    </w:p>
    <w:p>
      <w:r>
        <w:t xml:space="preserve">(2) Die Bundesanstalt kann über Richtlinien für den Regelfall festlegen, welcher Fondskategorie das Investmentvermögen nach den Anlagebedingungen, insbesondere nach den dort genannten Anlagegrenzen, der Satzung oder dem Gesellschaftsvertrag entspricht.</w:t>
      </w:r>
    </w:p>
    <w:p>
      <w:r>
        <w:rPr>
          <w:color w:val="555555"/>
          <w:sz w:val="17"/>
        </w:rPr>
        <w:t xml:space="preserve">Zitiervorschlag: § 4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