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KAGB — Erlöschen und Aufhebung der Erlaubnis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Die Erlaubnis erlischt, wenn die Kapitalverwaltungsgesellschaft</w:t>
      </w:r>
    </w:p>
    <w:p>
      <w:pPr>
        <w:ind w:left="420"/>
      </w:pPr>
      <w:r>
        <w:t xml:space="preserve">1. von ihr nicht innerhalb eines Jahres seit ihrer Erteilung Gebrauch macht,</w:t>
      </w:r>
    </w:p>
    <w:p>
      <w:pPr>
        <w:ind w:left="420"/>
      </w:pPr>
      <w:r>
        <w:t xml:space="preserve">2. den Geschäftsbetrieb, auf den sich die Erlaubnis bezieht, seit mehr als sechs Monaten nicht mehr ausübt,</w:t>
      </w:r>
    </w:p>
    <w:p>
      <w:pPr>
        <w:ind w:left="420"/>
      </w:pPr>
      <w:r>
        <w:t xml:space="preserve">3. ausdrücklich auf sie verzichtet oder</w:t>
      </w:r>
    </w:p>
    <w:p>
      <w:pPr>
        <w:ind w:left="420"/>
      </w:pPr>
      <w:r>
        <w:t xml:space="preserve">4. im Zuge einer Umwandlung nach § 305 des Umwandlungsgesetzes auf eine EU-Verwaltungsgesellschaft verschmolzen wird, sofern der übernehmende oder neue Rechtsträger nach § 320 des Umwandlungsgesetzes eine EU-Verwaltungsgesellschaft ist oder nach § 333 des Umwandlungsgesetzes seinen satzungsmäßigen Sitz ins Ausland verlegt.</w:t>
      </w:r>
    </w:p>
    <w:p>
      <w:r>
        <w:t xml:space="preserve">Bei Investmentaktiengesellschaften mit veränderlichem Kapital, bei Investmentaktiengesellschaften mit fixem Kapital, bei offenen Investmentkommanditgesellschaften oder bei geschlossenen Investmentkommanditgesellschaften muss der Verzicht im Sinne von Satz 1 Nummer 3 gegenüber der Bundesanstalt durch Vorlage eines Handelsregisterauszuges nachgewiesen werden, aus dem sich die entsprechende Änderung des Unternehmensgegenstandes wie auch die Änderung der Firma ergibt.</w:t>
      </w:r>
    </w:p>
    <w:p>
      <w:r>
        <w:t xml:space="preserve">(2) Soweit die externe Kapitalverwaltungsgesellschaft auch über die Erlaubnis zur Finanzportfolioverwaltung nach § 20 Absatz 2 Nummer 1 oder Absatz 3 Nummer 2 verfügt, erlischt diese Erlaubnis, wenn die Kapitalverwaltungsgesellschaft nach § 11 des Anlegerentschädigungsgesetzes von der Entschädigungseinrichtung ausgeschlossen wird.</w:t>
      </w:r>
    </w:p>
    <w:p>
      <w:r>
        <w:t xml:space="preserve">(3) Die Bundesanstalt kann die Erlaubnis außer nach den Vorschriften des Verwaltungsverfahrensgesetzes aufheben oder, soweit dies im Einzelfall ausreichend ist, aussetzen, wenn</w:t>
      </w:r>
    </w:p>
    <w:p>
      <w:pPr>
        <w:ind w:left="420"/>
      </w:pPr>
      <w:r>
        <w:t xml:space="preserve">1. die Kapitalverwaltungsgesellschaft die Erlaubnis auf Grund falscher Erklärungen oder auf sonstige rechtswidrige Weise erwirkt hat,</w:t>
      </w:r>
    </w:p>
    <w:p>
      <w:pPr>
        <w:ind w:left="420"/>
      </w:pPr>
      <w:r>
        <w:t xml:space="preserve">2. die Eigenmittel der Kapitalverwaltungsgesellschaft unter die in § 25 vorgesehenen Schwellen absinken und die Gesellschaft nicht innerhalb einer von der Bundesanstalt zu bestimmenden Frist diesen Mangel behoben hat,</w:t>
      </w:r>
    </w:p>
    <w:p>
      <w:pPr>
        <w:ind w:left="420"/>
      </w:pPr>
      <w:r>
        <w:t xml:space="preserve">3. der Bundesanstalt Tatsachen bekannt werden, die eine Versagung der Erlaubnis nach § 23 Nummer 2 bis 11 rechtfertigen würden,</w:t>
      </w:r>
    </w:p>
    <w:p>
      <w:pPr>
        <w:ind w:left="420"/>
      </w:pPr>
      <w:r>
        <w:t xml:space="preserve">4. die externe Kapitalverwaltungsgesellschaft auch über die Erlaubnis zur Finanzportfolioverwaltung nach § 20 Absatz 2 Nummer 1 oder Absatz 3 Nummer 2 verfügt und die Anforderungen gemäß § 5 Absatz 2 Satz 2 oder 3 dieses Gesetzes in Verbindung mit § 17 Absatz 1 Nummer 2 oder 3 des Wertpapierinstitutsgesetzes nicht mehr erfüllt,</w:t>
      </w:r>
    </w:p>
    <w:p>
      <w:pPr>
        <w:ind w:left="420"/>
      </w:pPr>
      <w:r>
        <w:t xml:space="preserve">5. gegen die Kapitalverwaltungsgesellschaft auf Grund einer Ordnungswidrigkeit nach § 340 Absatz 1 Nummer 1, 4 oder 5 oder Absatz 2 Nummer 1 Buchstabe a, d, e oder f, Nummer 3 bis 7, 9, 10, 13, 35, 76, 77 oder 81 oder auf Grund einer wiederholten Ordnungswidrigkeit nach § 340 Absatz 1 Nummer 2 oder 3 oder Absatz 2 Nummer 24, 31, 32, 37, 38, 40, 41, 49, 50 bis 63, 65, 72, 73, 78 oder 79 oder auf Grund einer Ordnungswidrigkeit oder auf Grund einer wiederholten Ordnungswidrigkeit nach § 120 Absatz 10 und § 120a Absatz 1 und 2 des Wertpapierhandelsgesetzes eine Geldbuße festgesetzt werden kann,</w:t>
      </w:r>
    </w:p>
    <w:p>
      <w:pPr>
        <w:ind w:left="420"/>
      </w:pPr>
      <w:r>
        <w:t xml:space="preserve">6. die Kapitalverwaltungsgesellschaft nachhaltig gegen die Bestimmungen dieses Gesetzes verstößt,</w:t>
      </w:r>
    </w:p>
    <w:p>
      <w:pPr>
        <w:ind w:left="420"/>
      </w:pPr>
      <w:r>
        <w:t xml:space="preserve">7. die Kapitalverwaltungsgesellschaft schwerwiegend, wiederholt oder systematisch gegen die Bestimmungen des Geldwäschegesetzes verstoßen hat.</w:t>
      </w:r>
    </w:p>
    <w:p>
      <w:r>
        <w:t xml:space="preserve">(4) § 38 des Kreditwesengesetzes ist entsprechend anzuwenden, wenn die Bundesanstalt die Erlaubnis der Kapitalverwaltungsgesellschaft aufhebt oder die Erlaubnis erlischt.</w:t>
      </w:r>
    </w:p>
    <w:p>
      <w:r>
        <w:t xml:space="preserve">(5) Mit dem Erlöschen der Erlaubnis beziehungsweise der Aufhebung der Erlaubnis erlischt das Recht der Kapitalverwaltungsgesellschaft, ein Investmentvermögen zu verwalten.</w:t>
      </w:r>
    </w:p>
    <w:p>
      <w:r>
        <w:rPr>
          <w:color w:val="555555"/>
          <w:sz w:val="17"/>
        </w:rPr>
        <w:t xml:space="preserve">Zitiervorschlag: § 39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