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362 KAGB — Übergangsvorschrift zum Fondsstandortgesetz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10.09.2021 (konsolidierte Textfassung, kein amtliches Inkrafttretensdatum)</w:t>
      </w:r>
    </w:p>
    <w:p>
      <w:r>
        <w:t xml:space="preserve">§ 148 Absatz 1 und die §§ 159a, 160 Absatz 1 in der ab dem 2. August 2021 geltenden Fassung sind erstmals auf Rechnungslegungsunterlagen und Jahresberichte für das nach dem 31. Dezember 2020 beginnende Geschäftsjahr anzuwenden. § 148 Absatz 1 und § 160 Absatz 1 in der bis einschließlich 1. August 2021 geltenden Fassung sind letztmals anzuwenden auf Rechnungsunterlagen und Jahresberichte für das vor dem 1. Januar 2021 beginnende Geschäftsjahr.</w:t>
      </w:r>
    </w:p>
    <w:p>
      <w:r>
        <w:rPr>
          <w:color w:val="555555"/>
          <w:sz w:val="17"/>
        </w:rPr>
        <w:t xml:space="preserve">Zitiervorschlag: § 362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