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361 KAGB — Übergangsvorschriften zu § 5 Absatz 2 Satz 2 und 3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§ 5 Absatz 2 Satz 2 und 3 ist erstmals auf externe Kapitalverwaltungsgesellschaften anzuwenden, denen ab dem 26. Juni 2021 neben der kollektiven Vermögensverwaltung eine Erlaubnis zur Erbringung der Finanzportfolioverwaltung erteilt wird.</w:t>
      </w:r>
    </w:p>
    <w:p>
      <w:r>
        <w:t xml:space="preserve">(2) Auf externe Kapitalverwaltungsgesellschaften, denen bis zum 26. Juni 2021 neben der kollektiven Vermögensverwaltung eine Erlaubnis zur Erbringung der Finanzportfolioverwaltung erteilt wurde, ist § 5 Absatz 2 Satz 2 und 3 erstmals ab dem 26. Juni 2023 anzuwenden.</w:t>
      </w:r>
    </w:p>
    <w:p>
      <w:r>
        <w:rPr>
          <w:color w:val="555555"/>
          <w:sz w:val="17"/>
        </w:rPr>
        <w:t xml:space="preserve">Zitiervorschlag: § 361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