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KAGB — Auslagerung; Verordnungsermächtigung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Kapitalverwaltungsgesellschaft kann Aufgaben nach § 1 Absatz 19 Nummer 24 oder die Dienst- und Nebendienstleistungen nach § 20 Absatz 2 Satz 1 Nummer 1 bis 3 und 8 bis 10 sowie Absatz 3 Satz 1 Nummer 2 bis 5 und 9 bis 11 auf ein anderes Unternehmen (Auslagerungsunternehmen) unter den folgenden Bedingungen auslagern:</w:t>
      </w:r>
    </w:p>
    <w:p>
      <w:pPr>
        <w:ind w:left="420"/>
      </w:pPr>
      <w:r>
        <w:t xml:space="preserve">1. die Kapitalverwaltungsgesellschaft muss in der Lage sein, ihre gesamte Auslagerungsstruktur anhand von objektiven Gründen zu rechtfertigen;</w:t>
      </w:r>
    </w:p>
    <w:p>
      <w:pPr>
        <w:ind w:left="420"/>
      </w:pPr>
      <w:r>
        <w:t xml:space="preserve">2. das Auslagerungsunternehmen muss über ausreichende Ressourcen für die Ausführung der ihm übertragenen Aufgaben und Dienst- und Nebendienstleistungen verfügen und die Personen, die die Geschäfte des Auslagerungsunternehmens tatsächlich leiten, müssen zuverlässig sein und über ausreichende Erfahrung verfügen;</w:t>
      </w:r>
    </w:p>
    <w:p>
      <w:pPr>
        <w:ind w:left="420"/>
      </w:pPr>
      <w:r>
        <w:t xml:space="preserve">3. sofern die Auslagerung bei einer OGAW-Kapitalverwaltungsgesellschaft die Portfolioverwaltung und bei einer AIF-Kapitalverwaltungsgesellschaft die Portfolioverwaltung oder das Risikomanagement betrifft, dürfen damit nur Auslagerungsunternehmen beauftragt werden, die für die Zwecke der Vermögensverwaltung oder Finanzportfolioverwaltung zugelassen oder registriert sind und einer Aufsicht unterliegen; § 2 Absatz 6 Satz 1 Nummer 5 des Kreditwesengesetzes findet insoweit keine Anwendung; kann diese Bedingung bei AIF-Kapitalverwaltungsgesellschaften nicht erfüllt werden, kann eine Auslagerung nach Genehmigung durch die Bundesanstalt erfolgen;</w:t>
      </w:r>
    </w:p>
    <w:p>
      <w:pPr>
        <w:ind w:left="420"/>
      </w:pPr>
      <w:r>
        <w:t xml:space="preserve">4. wird die Portfolioverwaltung oder das Risikomanagement auf ein Unternehmen mit Sitz in einem Drittstaat ausgelagert, muss die Zusammenarbeit zwischen der Bundesanstalt und der zuständigen Aufsichtsbehörde des Drittstaates sichergestellt sein;</w:t>
      </w:r>
    </w:p>
    <w:p>
      <w:pPr>
        <w:ind w:left="420"/>
      </w:pPr>
      <w:r>
        <w:t xml:space="preserve">5. die Auslagerung darf die Wirksamkeit der Beaufsichtigung der Kapitalverwaltungsgesellschaft nicht beeinträchtigen; insbesondere darf sie weder die Kapitalverwaltungsgesellschaft daran hindern, im Interesse ihrer Anleger zu handeln, noch darf sie verhindern, dass das Investmentvermögen im Interesse der Anleger verwaltet wird;</w:t>
      </w:r>
    </w:p>
    <w:p>
      <w:pPr>
        <w:ind w:left="420"/>
      </w:pPr>
      <w:r>
        <w:t xml:space="preserve">6. die Kapitalverwaltungsgesellschaft muss darlegen können, dass das Auslagerungsunternehmen</w:t>
      </w:r>
    </w:p>
    <w:p>
      <w:pPr>
        <w:ind w:left="780"/>
      </w:pPr>
      <w:r>
        <w:t xml:space="preserve">a) unter Berücksichtigung der ihm übertragenen Aufgaben und Dienst- und Nebendienstleistungen über die erforderliche Qualifikation verfügt,</w:t>
      </w:r>
    </w:p>
    <w:p>
      <w:pPr>
        <w:ind w:left="780"/>
      </w:pPr>
      <w:r>
        <w:t xml:space="preserve">b) in der Lage ist, die übernommenen Aufgaben und Dienst- und Nebendienstleistungen ordnungsgemäß wahrzunehmen, und</w:t>
      </w:r>
    </w:p>
    <w:p>
      <w:pPr>
        <w:ind w:left="780"/>
      </w:pPr>
      <w:r>
        <w:t xml:space="preserve">c) sorgfältig ausgewählt wurde;</w:t>
      </w:r>
    </w:p>
    <w:p>
      <w:pPr>
        <w:ind w:left="420"/>
      </w:pPr>
      <w:r>
        <w:t xml:space="preserve">7. die Kapitalverwaltungsgesellschaft muss in der Lage sein, die ausgelagerten Aufgaben und Dienst- und Nebendienstleistungen jederzeit wirksam zu überwachen und sicherzustellen, dass die Wahrnehmung der übertragenen Aufgaben und die Erbringung der übertragenen Dienst- und Nebendienstleistungen unabhängig vom aufsichtsrechtlichen Status und Standort des Auslagerungs- oder Unterauslagerungsunternehmens im Fall von OGAW-Kapitalverwaltungsgesellschaften der Richtlinie 2009/65/EG und im Fall von AIF-Kapitalverwaltungsgesellschaften der Richtlinie 2011/61/EU entsprechen; die Kapitalverwaltungsgesellschaft hat sich insbesondere die erforderlichen Weisungsbefugnisse und die Kündigungsrechte vertraglich zu sichern; darüber hinaus hat sie bei einer Auslagerung auf ein Unternehmen in einem Drittstaat vertraglich sicherzustellen, dass das Auslagerungsunternehmen einen inländischen Zustellungsbevollmächtigten zu benennen hat, an den Bekanntgaben und Zustellungen durch die Bundesanstalt bewirkt werden können, und</w:t>
      </w:r>
    </w:p>
    <w:p>
      <w:pPr>
        <w:ind w:left="420"/>
      </w:pPr>
      <w:r>
        <w:t xml:space="preserve">8. die Kapitalverwaltungsgesellschaft überprüft fortwährend die vom Auslagerungsunternehmen erbrachten Dienstleistungen.</w:t>
      </w:r>
    </w:p>
    <w:p>
      <w:r>
        <w:t xml:space="preserve">Die Genehmigung der Auslagerung nach Satz 1 Nummer 3 durch die Bundesanstalt ist innerhalb einer Frist von vier Wochen nach Eingang des Genehmigungsantrags zu erteilen, wenn die Voraussetzungen für die Genehmigung erfüllt sind. Sind die Voraussetzungen für die Genehmigung nicht erfüllt, hat die Bundesanstalt dies dem Antragsteller innerhalb der Frist nach Satz 2 unter Angabe der Gründe mitzuteilen und fehlende oder geänderte Angaben oder Unterlagen anzufordern. Mit dem Eingang der angeforderten Angaben oder Unterlagen beginnt der Lauf der in Satz 2 genannten Frist erneut.</w:t>
      </w:r>
    </w:p>
    <w:p>
      <w:r>
        <w:t xml:space="preserve">(1a) Ungeachtet von Vertriebsvereinbarungen zwischen einer Kapitalverwaltungsgesellschaft und einer Vertriebsstelle gilt dieser Paragraph nicht in Fällen, in denen</w:t>
      </w:r>
    </w:p>
    <w:p>
      <w:pPr>
        <w:ind w:left="420"/>
      </w:pPr>
      <w:r>
        <w:t xml:space="preserve">1. die in Anhang II Spiegelstrich 3 der Richtlinie 2009/65/EG oder in Anhang I Nummer 2 Buchstabe b der Richtlinie 2011/61/EU genannte Vertriebsfunktion von einer oder mehreren Vertriebstellen wahrgenommen wird, die in eigenem Namen handelt oder handeln, und</w:t>
      </w:r>
    </w:p>
    <w:p>
      <w:pPr>
        <w:ind w:left="420"/>
      </w:pPr>
      <w:r>
        <w:t xml:space="preserve">2. die Investmentvermögen im Einklang mit der Richtlinie 2014/65/EU oder über Versicherungsanlageprodukte nach der Richtlinie (EU) 2016/97 vertrieben werden.</w:t>
      </w:r>
    </w:p>
    <w:p>
      <w:r>
        <w:t xml:space="preserve">(2) Die Kapitalverwaltungsgesellschaft hat der Bundesanstalt eine Auslagerung anzuzeigen, bevor die Auslagerungsvereinbarung in Kraft tritt. Sie hat der Bundesanstalt darüber hinaus wesentliche Änderungen einer Auslagerung anzuzeigen.</w:t>
      </w:r>
    </w:p>
    <w:p>
      <w:r>
        <w:t xml:space="preserve">(3) Die Portfolioverwaltung oder das Risikomanagement darf nicht ausgelagert werden auf</w:t>
      </w:r>
    </w:p>
    <w:p>
      <w:pPr>
        <w:ind w:left="420"/>
      </w:pPr>
      <w:r>
        <w:t xml:space="preserve">1. die Verwahrstelle oder einen Unterverwahrer oder</w:t>
      </w:r>
    </w:p>
    <w:p>
      <w:pPr>
        <w:ind w:left="420"/>
      </w:pPr>
      <w:r>
        <w:t xml:space="preserve">2. ein anderes Unternehmen, dessen Interessen mit denen der Kapitalverwaltungsgesellschaft oder der Anleger des Investmentvermögens im Konflikt stehen könnten, außer wenn ein solches Unternehmen</w:t>
      </w:r>
    </w:p>
    <w:p>
      <w:pPr>
        <w:ind w:left="780"/>
      </w:pPr>
      <w:r>
        <w:t xml:space="preserve">a) die Ausführung seiner Aufgaben bei der Portfolioverwaltung oder dem Risikomanagement funktional und hierarchisch von seinen anderen potenziell dazu im Interessenkonflikt stehenden Aufgaben trennt und</w:t>
      </w:r>
    </w:p>
    <w:p>
      <w:pPr>
        <w:ind w:left="780"/>
      </w:pPr>
      <w:r>
        <w:t xml:space="preserve">b) die potenziellen Interessenkonflikte ordnungsgemäß ermittelt, steuert, beobachtet und den Anlegern des Investmentvermögens gegenüber offenlegt.</w:t>
      </w:r>
    </w:p>
    <w:p>
      <w:r>
        <w:t xml:space="preserve">(4) Die Kapitalverwaltungsgesellschaft hat ein Verschulden des Auslagerungsunternehmens in gleichem Umfang zu vertreten wie eigenes Verschulden.</w:t>
      </w:r>
    </w:p>
    <w:p>
      <w:r>
        <w:t xml:space="preserve">(5) Die Kapitalverwaltungsgesellschaft darf Aufgaben und Dienst- und Nebendienstleistungen nach Absatz 1 Satz 1 nicht in einem Umfang übertragen, der dazu führt, dass sie nicht länger als Verwaltungsgesellschaft oder als Erbringer der in Absatz 1 Satz 1 genannten Dienst- und Nebendienstleistungen angesehen werden kann und zu einer Briefkastenfirma wird.</w:t>
      </w:r>
    </w:p>
    <w:p>
      <w:r>
        <w:t xml:space="preserve">(5a) Die Bundesanstalt kann im Einzelfall unmittelbar gegenüber Auslagerungsunternehmen Anordnungen treffen, die geeignet und erforderlich sind, um die Ordnungsmäßigkeit der Tätigkeit der Kapitalverwaltungsgesellschaft zu gewährleisten, insbesondere um zu verhindern, dass die Kapitalverwaltungsgesellschaft zu einer Briefkastenfirma im Sinne des Absatzes 5 wird.</w:t>
      </w:r>
    </w:p>
    <w:p>
      <w:r>
        <w:t xml:space="preserve">(6) Das Auslagerungsunternehmen darf die auf ihn ausgelagerten Aufgaben und Dienst- und Nebendienstleistungen nach Absatz 1 Satz 1 unter den folgenden Bedingungen weiter übertragen (Unterauslagerung):</w:t>
      </w:r>
    </w:p>
    <w:p>
      <w:pPr>
        <w:ind w:left="420"/>
      </w:pPr>
      <w:r>
        <w:t xml:space="preserve">1. die Kapitalverwaltungsgesellschaft hat der Unterauslagerung vorher zuzustimmen,</w:t>
      </w:r>
    </w:p>
    <w:p>
      <w:pPr>
        <w:ind w:left="420"/>
      </w:pPr>
      <w:r>
        <w:t xml:space="preserve">2. die Kapitalverwaltungsgesellschaft hat der Bundesanstalt die Unterauslagerung anzuzeigen, bevor die Unterauslagerungsvereinbarung in Kraft tritt,</w:t>
      </w:r>
    </w:p>
    <w:p>
      <w:pPr>
        <w:ind w:left="420"/>
      </w:pPr>
      <w:r>
        <w:t xml:space="preserve">3. die in Absatz 1 Nummer 2 bis 8 festgelegten Bedingungen werden auf das Verhältnis zwischen Auslagerungsunternehmen und Unterauslagerungsunternehmen entsprechend angewendet.</w:t>
      </w:r>
    </w:p>
    <w:p>
      <w:r>
        <w:t xml:space="preserve">Satz 1 gilt entsprechend bei jeder weiteren Unterauslagerung.</w:t>
      </w:r>
    </w:p>
    <w:p>
      <w:r>
        <w:t xml:space="preserve">(7) Absatz 3 gilt entsprechend bei jeder Unterauslagerung der Portfolioverwaltung oder des Risikomanagements.</w:t>
      </w:r>
    </w:p>
    <w:p>
      <w:r>
        <w:t xml:space="preserve">(8) Bei OGAW-Kapitalverwaltungsgesellschaften muss die Auslagerung mit den von der OGAW-Kapitalverwaltungsgesellschaft regelmäßig festgesetzten Vorgaben für die Verteilung der Anlagen in Einklang stehen.</w:t>
      </w:r>
    </w:p>
    <w:p>
      <w:r>
        <w:t xml:space="preserve">(9) Die Kapitalverwaltungsgesellschaft hat im Verkaufsprospekt nach § 165 oder § 269 die Aufgaben und Dienst- und Nebendienstleistungen nach Absatz 1 Satz 1 aufzulisten, die sie ausgelagert hat.</w:t>
      </w:r>
    </w:p>
    <w:p>
      <w:r>
        <w:t xml:space="preserve">(10) Im Hinblick auf AIF-Kapitalverwaltungsgesellschaften bestimmen sich die Bedingungen zur Erfüllung der Anforderungen nach den Absätzen 1 bis 3 und 6 und 7 sowie die Umstände, unter denen angenommen wird, dass die AIF-Kapitalverwaltungsgesellschaft im Sinne von Absatz 5 ihre Funktionen in einem Umfang übertragen hat, der sie zu einer Briefkastenfirma werden lässt, so dass sie nicht länger als Verwalter des AIF angesehen werden kann, nach den Artikeln 75 bis 82 der Delegierten Verordnung (EU) Nr. 231/2013. Für OGAW-Kapitalverwaltungsgesellschaften sind die Artikel 75 bis 82 der Delegierten Verordnung (EU) Nr. 231/2013 hinsichtlich der Bedingungen zur Erfüllung der Anforderungen nach den Absätzen 1 bis 3 und 6 und 7 sowie der Umstände, unter denen angenommen wird, dass die OGAW-Kapitalverwaltungsgesellschaft im Sinne von Absatz 5 ihre Funktionen in einem Umfang übertragen hat, der sie zu einer Briefkastenfirma werden lässt, so dass sie nicht länger als Verwalter des OGAW angesehen werden kann, entsprechend anzuwenden.</w:t>
      </w:r>
    </w:p>
    <w:p>
      <w:r>
        <w:t xml:space="preserve">(11) Das Bundesministerium der Finanzen wird ermächtigt, durch Rechtsverordnung, die nicht der Zustimmung des Bundesrates bedarf, nähere Bestimmungen zu erlassen über</w:t>
      </w:r>
    </w:p>
    <w:p>
      <w:pPr>
        <w:ind w:left="420"/>
      </w:pPr>
      <w:r>
        <w:t xml:space="preserve">1. Art, Umfang, Zeitpunkt und Form der nach den Absätzen 2 und 6 Satz 1 Nummer 2 vorgesehenen Anzeigen und einzureichenden Unterlagen,</w:t>
      </w:r>
    </w:p>
    <w:p>
      <w:pPr>
        <w:ind w:left="420"/>
      </w:pPr>
      <w:r>
        <w:t xml:space="preserve">2. die zulässigen Datenträger, Übertragungswege und Datenformate und</w:t>
      </w:r>
    </w:p>
    <w:p>
      <w:pPr>
        <w:ind w:left="420"/>
      </w:pPr>
      <w:r>
        <w:t xml:space="preserve">3. zu verwendende und anzuzeigende Zusatzinformationen zu den Hauptinformationen, etwa besondere Rechtsträgerkennungen sowie Angaben zu deren Aktualität oder Validität.</w:t>
      </w:r>
    </w:p>
    <w:p>
      <w:r>
        <w:t xml:space="preserve">Das Bundesministerium der Finanzen wird weiterhin ermächtigt, durch Rechtsverordnung, die nicht der Zustimmung des Bundesrates bedarf, die bestehenden Anzeigepflichten durch die Verpflichtung zur Erstellung von Sammelanzeigen und zur Einreichung von Sammelaufstellungen zu ergänzen, soweit dies zur Erfüllung der Aufgaben der Bundesanstalt erforderlich ist, insbesondere um einheitliche Unterlagen zur Beurteilung der von den Kapitalverwaltungsgesellschaften durchgeführten Geschäften zu erhalten. In der Rechtsverordnung können ebenfalls nähere Bestimmungen erlassen werden für die Führung eines öffentlichen Registers durch die Bundesanstalt sowie über die Zugriffsmöglichkeiten auf dieses öffentliche Register und über die Zuweisung von Verantwortlichkeiten für die Richtigkeit und Aktualität des öffentlichen Registers. Das Bundesministerium der Finanzen kann die Ermächtigung durch Rechtsverordnung auf die Bundesanstalt übertragen.</w:t>
      </w:r>
    </w:p>
    <w:p>
      <w:r>
        <w:rPr>
          <w:color w:val="555555"/>
          <w:sz w:val="17"/>
        </w:rPr>
        <w:t xml:space="preserve">Zitiervorschlag: § 36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