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357 KAGB — Übergangsvorschrift zu § 100a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100a ist mit Wirkung vom 31. Dezember 2015 anzuwenden. § 100a ist auch in den Fällen anzuwenden, in denen der Übergang des Immobilien-Sondervermögens auf die Verwahrstelle gemäß § 39 Absatz 1 des Investmentgesetzes erfolgt, weil das Recht der AIF-Kapitalverwaltungsgesellschaft, das Immobilien-Sondervermögen zu verwalten,</w:t>
      </w:r>
    </w:p>
    <w:p>
      <w:pPr>
        <w:ind w:left="420"/>
      </w:pPr>
      <w:r>
        <w:t xml:space="preserve">1. gemäß § 38 Absatz 1 des Investmentgesetzes aufgrund der Kündigung des Verwaltungsrechts während einer Aussetzung der Rücknahme gemäß § 81 des Investmentgesetzes oder</w:t>
      </w:r>
    </w:p>
    <w:p>
      <w:pPr>
        <w:ind w:left="420"/>
      </w:pPr>
      <w:r>
        <w:t xml:space="preserve">2. gemäß § 81 Absatz 4 des Investmentgesetzes in der Fassung vom 5. April 2011</w:t>
      </w:r>
    </w:p>
    <w:p>
      <w:r>
        <w:t xml:space="preserve">erloschen ist und das Immobilien-Sondervermögen gemäß § 39 Absatz 2 des Investmentgesetzes abgewickelt und an die Anleger verteilt wird, sofern der Übergang des Immobilien-Sondervermögens auf die Verwahrstelle erst ab dem 31. Dezember 2015 erfolgt ist.</w:t>
      </w:r>
    </w:p>
    <w:p>
      <w:r>
        <w:rPr>
          <w:color w:val="555555"/>
          <w:sz w:val="17"/>
        </w:rPr>
        <w:t xml:space="preserve">Zitiervorschlag: § 357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