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353b KAGB — Übergangsvorschriften zu § 285 Absatz 3</w:t>
      </w:r>
    </w:p>
    <w:p>
      <w:r>
        <w:rPr>
          <w:color w:val="555555"/>
          <w:sz w:val="18"/>
        </w:rPr>
        <w:t xml:space="preserve">Kapitalanlagegesetzbuch</w:t>
      </w:r>
    </w:p>
    <w:p>
      <w:r>
        <w:rPr>
          <w:color w:val="555555"/>
          <w:sz w:val="18"/>
        </w:rPr>
        <w:t xml:space="preserve">Stand: 28.01.2022 (konsolidierte Textfassung, kein amtliches Inkrafttretensdatum)</w:t>
      </w:r>
    </w:p>
    <w:p>
      <w:r>
        <w:t xml:space="preserve">§ 20 Absatz 9 Satz 1 und § 285 Absatz 3, auch in Verbindung mit § 2 Absatz 4, § 261 Absatz 1 Nummer 8, § 282 Absatz 2 Satz 3 und § 284 Absatz 5, in der ab dem 18. März 2016 geltenden Fassung sind nicht anzuwenden auf Gelddarlehen, die vor dem 18. März 2016 für Rechnung von inländischen AIF an Unternehmen gewährt wurden, an denen der inländische AIF bereits beteiligt war. Für nach dem 18. März 2016 vergebene Gelddarlehen sind in die Berechnung der Begrenzung nach § 285 Absatz 3 Satz 1 auf höchstens 50 Prozent des aggregierten eingebrachten und noch nicht eingeforderten zugesagten Kapitals des inländischen AIF die vor dem 18. März 2016 vergebenen Darlehen einzubeziehen.</w:t>
      </w:r>
    </w:p>
    <w:p>
      <w:r>
        <w:rPr>
          <w:color w:val="555555"/>
          <w:sz w:val="17"/>
        </w:rPr>
        <w:t xml:space="preserve">Zitiervorschlag: § 353b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https://recht.nulegal.eu/gesetze/KAGB/353b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