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352a KAGB — Definition von geschlossenen AIF im Sinne von § 353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§ 1 Absatz 4 Nummer 2 und Absatz 5 sind geschlossene AIF im Sinne von § 353 auch solche AIF, die die Voraussetzungen von Artikel 1 Absatz 5 der Delegierten Verordnung (EU) Nr. 694/2014 erfüllen.</w:t>
      </w:r>
    </w:p>
    <w:p>
      <w:r>
        <w:rPr>
          <w:color w:val="555555"/>
          <w:sz w:val="17"/>
        </w:rPr>
        <w:t xml:space="preserve">Zitiervorschlag: § 352a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https://recht.nulegal.eu/gesetze/KAGB/352a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