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351 KAGB — Übergangsvorschriften für offene AIF und für AIF-Verwaltungsgesellschaften, die offene AIF verwalten, die nicht bereits nach dem Investmentgesetz reguliert waren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Eine AIF-Kapitalverwaltungsgesellschaft, die bei Inkrafttreten dieses Gesetzes</w:t>
      </w:r>
    </w:p>
    <w:p>
      <w:pPr>
        <w:ind w:left="420"/>
      </w:pPr>
      <w:r>
        <w:t xml:space="preserve">1. nicht über eine Erlaubnis als Kapitalanlagegesellschaft nach § 7 Absatz 1 des Investmentgesetzes in der bis zum 21. Juli 2013 geltenden Fassung oder eine Erlaubnis als Investmentaktiengesellschaft nach § 97 Absatz 1 des Investmentgesetzes in der bis zum 21. Juli 2013 geltenden Fassung verfügt und</w:t>
      </w:r>
    </w:p>
    <w:p>
      <w:pPr>
        <w:ind w:left="420"/>
      </w:pPr>
      <w:r>
        <w:t xml:space="preserve">2. inländische offene Publikums-AIF verwaltet, die vor dem 22. Juli 2013 aufgelegt im Sinne des § 343 Absatz 4 wurden,</w:t>
      </w:r>
    </w:p>
    <w:p>
      <w:r>
        <w:t xml:space="preserve">hat die Anlagebedingungen, Satzungen oder Gesellschaftsverträge dieser inländischen offenen Publikums-AIF an die Vorschriften dieses Gesetzes anzupassen; die geänderten Anlagebedingungen müssen spätestens am 21. Juli 2014 in Kraft treten. Für die Genehmigung der Anlagebedingungen gilt nur § 163 Absatz 2 Satz 1 bis 4, 7 bis 10 und Absatz 4. Der Antrag auf Genehmigung der Anlagebedingungen darf nicht nach dem Erlaubnisantrag gemäß § 22 bei der Bundesanstalt eingereicht werden. Wird der Antrag auf Genehmigung der Änderungen der Anlagebedingungen vor dem Erlaubnisantrag gemäß § 22 eingereicht, muss die AIF-Kapitalverwaltungsgesellschaft bei der Einreichung verbindlich gegenüber der Bundesanstalt erklären, spätestens bis zum 21. Juli 2014 einen Antrag auf Erlaubnis nach den §§ 20 und 22 zu stellen. Ab Inkrafttreten der Anlagebedingungen, spätestens jedoch ab dem 22. Juli 2014, finden auf diese inländischen offenen Publikums-AIF die für sie nach diesem Gesetz geltenden Vorschriften Anwendung. Die §§ 1 und 2 sowie die Vorschriften dieses Gesetzes betreffend die für Umstellung auf das neue Recht erforderlichen Anträge, Verwaltungsverfahren und Bescheide sowie die Übergangsvorschriften nach diesem Gesetz bleiben bis zu dem in Satz 5 genannten Zeitpunkt unberührt.</w:t>
      </w:r>
    </w:p>
    <w:p>
      <w:r>
        <w:t xml:space="preserve">(2) Soweit sich aus Absatz 1 Satz 5 nichts anderes ergibt, ist ab Eingang des Erlaubnisantrags nach § 22 bei der Bundesanstalt dieses Gesetz vollständig auf die AIF-Kapitalverwaltungsgesellschaft mit der Maßgabe anzuwenden, dass im Hinblick auf die Verwaltung und den Vertrieb von Publikums-AIF im Sinne des Satzes 1 Nummer 2 im Geltungsbereich dieses Gesetzes und solange der Erlaubnisantrag, der bis zum 21. Juli 2014 einzureichen ist, noch nicht beschieden wurde, das Erfordernis der Erlaubnis durch den noch nicht beschiedenen vollständigen Erlaubnisantrag ersetzt wird. Absatz 1 Satz 6 gilt entsprechend.</w:t>
      </w:r>
    </w:p>
    <w:p>
      <w:r>
        <w:t xml:space="preserve">(3) Eine AIF-Kapitalverwaltungsgesellschaft im Sinne des Absatzes 1 Satz 1 Nummer 1 darf von ihr verwaltete inländische offene Publikums-AIF im Sinne des Absatzes 1 Satz 1 Nummer 2 nach dem 21. Juli 2013 weiter im Geltungsbereich dieses Gesetzes ohne die nach § 316 erforderliche Anzeige vertreiben. Für das Ende des Vertriebsrechts nach Satz 1 und die Voraussetzungen für einen Vertrieb nach dem Inkrafttreten der Änderungen der Anlagebedingungen, jedenfalls spätestens nach dem 21. Juli 2014, gilt § 345 Absatz 6 Satz 2 bis 7 entsprechend.</w:t>
      </w:r>
    </w:p>
    <w:p>
      <w:r>
        <w:t xml:space="preserve">(4) Die Absätze 1 bis 3 gelten für inländische offene Spezial-AIF entsprechend mit der Maßgabe, dass an die Stelle des Antrags auf Genehmigung der Anlagebedingungen die Anlagebedingungen, an die Stelle des Verweises auf § 316 der Verweis auf § 321 und an die Stelle von Publikums-AIF Spezial-AIF treten.</w:t>
      </w:r>
    </w:p>
    <w:p>
      <w:r>
        <w:t xml:space="preserve">(5) AIF-Verwaltungsgesellschaften, die</w:t>
      </w:r>
    </w:p>
    <w:p>
      <w:pPr>
        <w:ind w:left="420"/>
      </w:pPr>
      <w:r>
        <w:t xml:space="preserve">1. offene EU-AIF oder offene ausländische AIF verwalten, die keine ausländischen Investmentvermögen im Sinne des Investmentgesetzes in der bis zum 21. Juli 2013 geltenden Fassung sind und im Inland vor dem 22. Juli 2013 vertrieben werden durften, und</w:t>
      </w:r>
    </w:p>
    <w:p>
      <w:pPr>
        <w:ind w:left="420"/>
      </w:pPr>
      <w:r>
        <w:t xml:space="preserve">2. ab dem 22. Juli 2013 Tätigkeiten ausüben oder ausüben lassen, die nach diesem Gesetz als Vertrieb eines Investmentvermögens anzusehen sind,</w:t>
      </w:r>
    </w:p>
    <w:p>
      <w:r>
        <w:t xml:space="preserve">übermitteln, gegebenenfalls über die zuständigen Stellen des Herkunftsmitgliedstaates, eine Anzeige nach den §§ 320, 323, 329, 330 oder 330a. § 345 Absatz 8 Satz 2, 3 und 5 gilt entsprechend mit der Maßgabe, dass an die Stelle der Wörter „nach den Vertriebsvorschriften des Investmentgesetzes in der bis zum 21. Juli 2013 geltenden Fassung“ die Wörter „nach den Vertriebsvorschriften, die für diese Investmentvermögen vor dem 22. Juli 2013 anwendbar waren“ treten.</w:t>
      </w:r>
    </w:p>
    <w:p>
      <w:r>
        <w:rPr>
          <w:color w:val="555555"/>
          <w:sz w:val="17"/>
        </w:rPr>
        <w:t xml:space="preserve">Zitiervorschlag: § 351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