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350 KAGB — Besondere Übergangsvorschriften für Hedgefonds und offene Spezial-AIF</w:t>
      </w:r>
    </w:p>
    <w:p>
      <w:r>
        <w:rPr>
          <w:color w:val="555555"/>
          <w:sz w:val="18"/>
        </w:rPr>
        <w:t xml:space="preserve">Kapitalanlagegesetzbuch</w:t>
      </w:r>
    </w:p>
    <w:p>
      <w:r>
        <w:rPr>
          <w:color w:val="555555"/>
          <w:sz w:val="18"/>
        </w:rPr>
        <w:t xml:space="preserve">Stand: 10.06.2019 (konsolidierte Textfassung, kein amtliches Inkrafttretensdatum)</w:t>
      </w:r>
    </w:p>
    <w:p>
      <w:r>
        <w:t xml:space="preserve">(1) Für eine AIF-Kapitalverwaltungsgesellschaft, die bei Inkrafttreten dieses Gesetzes</w:t>
      </w:r>
    </w:p>
    <w:p>
      <w:pPr>
        <w:ind w:left="420"/>
      </w:pPr>
      <w:r>
        <w:t xml:space="preserve">1. über eine Erlaubnis als Kapitalanlagegesellschaft nach § 7 Absatz 1 des Investmentgesetzes in der bis zum 21. Juli 2013 geltenden Fassung oder über eine Erlaubnis als Investmentaktiengesellschaft nach § 97 Absatz 1 des Investmentgesetzes in der bis zum 21. Juli 2013 geltenden Fassung verfügt und</w:t>
      </w:r>
    </w:p>
    <w:p>
      <w:pPr>
        <w:ind w:left="420"/>
      </w:pPr>
      <w:r>
        <w:t xml:space="preserve">2. Sondervermögen oder Investmentaktiengesellschaften mit zusätzlichen Risiken im Sinne des § 112 des Investmentgesetzes in der bis zum 21. Juli 2013 geltenden Fassung verwaltet, die vor dem 22. Juli 2013 aufgelegt im Sinne des § 343 Absatz 4 wurden, an Privatanleger vertrieben werden durften und deren Anlagebedingungen gemäß den §§ 43, 43a des Investmentgesetzes in der bis zum 21. Juli 2013 geltenden Fassung genehmigt wurden,</w:t>
      </w:r>
    </w:p>
    <w:p>
      <w:r>
        <w:t xml:space="preserve">gilt § 345 Absatz 1 und 2 entsprechend mit der Maßgabe, dass in § 345 Absatz 1 Satz 11 an die Stelle des Begriffs „Publikums-AIF“ der Begriff „Spezial-AIF“ tritt und ein Vertrieb an Privatanleger oder ein Erwerb der Anteile oder Aktien durch Privatanleger ab dem 22. Juli 2013 nicht mehr zulässig ist, soweit sich aus Satz 2 nichts anderes ergibt. Solange Anteile oder Aktien von Privatanlegern gehalten werden, gelten abweichend von § 345 Absatz 1 Satz 11 ab Inkrafttreten der Änderungen der Anlagebedingungen die §§ 112, 116 und 118 des Investmentgesetzes in der bis zum 21. Juli 2013 geltenden Fassung entsprechend, sofern sie Sondervermögen oder Investmentaktiengesellschaften mit zusätzlichen Risiken im Sinne des § 112 des Investmentgesetzes in der bis zum 21. Juli 2013 geltenden Fassung betreffen; ein Vertrieb an oder ein Erwerb durch Privatanleger ist ausgeschlossen. Solange Anteile oder Aktien von Privatanlegern gehalten werden, gelten ferner die §§ 162, 163 und 297, soweit sich diese Vorschriften auf Anleger beziehen, und die §§ 300, 301, 305 und 306 im Hinblick auf diejenigen Privatanleger, die noch Anteile oder Aktien halten.</w:t>
      </w:r>
    </w:p>
    <w:p>
      <w:r>
        <w:t xml:space="preserve">(2) Werden Anteile oder Aktien von inländischen offenen Spezial-AIF im Sinne des § 345 Absatz 3 Satz 1 Nummer 2, die von einer AIF-Kapitalverwaltungsgesellschaft im Sinne von § 345 Absatz 3 Satz 1 Nummer 1 verwaltet werden, von Privatanlegern gehalten, die diese Anteile oder Aktien vor dem 22. Juli 2013 erworben haben, so dürfen diese Privatanleger diese vor dem 22. Juli 2013 erworbenen Anteile oder Aktien auch nach dem 22. Juli 2013 weiter halten, bis sie diese Anteile oder Aktien zurückgeben, ohne dass sich die Qualifikation des Investmentvermögens als inländischer Spezial-AIF nach § 1 Absatz 6 ändert.</w:t>
      </w:r>
    </w:p>
    <w:p>
      <w:r>
        <w:rPr>
          <w:color w:val="555555"/>
          <w:sz w:val="17"/>
        </w:rPr>
        <w:t xml:space="preserve">Zitiervorschlag: § 350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https://recht.nulegal.eu/gesetze/KAGB/350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