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348 KAGB — Besondere Übergangsvorschriften für Gemischte Sondervermögen und Gemischte Investmentaktiengesellschaften</w:t>
      </w:r>
    </w:p>
    <w:p>
      <w:r>
        <w:rPr>
          <w:color w:val="555555"/>
          <w:sz w:val="18"/>
        </w:rPr>
        <w:t xml:space="preserve">Kapitalanlagegesetzbuch</w:t>
      </w:r>
    </w:p>
    <w:p>
      <w:r>
        <w:rPr>
          <w:color w:val="555555"/>
          <w:sz w:val="18"/>
        </w:rPr>
        <w:t xml:space="preserve">Stand: 10.06.2019 (konsolidierte Textfassung, kein amtliches Inkrafttretensdatum)</w:t>
      </w:r>
    </w:p>
    <w:p>
      <w:r>
        <w:t xml:space="preserve">Gemischte Sondervermögen oder Gemischte Investmentaktiengesellschaften, die vor dem 22. Juli 2013 gemäß den §§ 83 bis 86 des Investmentgesetzes in der bis zum 21. Juli 2013 geltenden Fassung aufgelegt wurden und die zu diesem Zeitpunkt</w:t>
      </w:r>
    </w:p>
    <w:p>
      <w:pPr>
        <w:ind w:left="420"/>
      </w:pPr>
      <w:r>
        <w:t xml:space="preserve">1. Anteile an Immobilien-Sondervermögen nach den §§ 66 bis 82 des Investmentgesetzes in der bis zum 21. Juli 2013 geltenden Fassung,</w:t>
      </w:r>
    </w:p>
    <w:p>
      <w:pPr>
        <w:ind w:left="420"/>
      </w:pPr>
      <w:r>
        <w:t xml:space="preserve">2. Anteile an Sondervermögen mit zusätzlichen Risiken nach § 112 des Investmentgesetzes in der bis zum 21. Juli 2013 geltenden Fassung,</w:t>
      </w:r>
    </w:p>
    <w:p>
      <w:pPr>
        <w:ind w:left="420"/>
      </w:pPr>
      <w:r>
        <w:t xml:space="preserve">3. Aktien an Investmentaktiengesellschaften, deren Satzung eine dem § 112 des Investmentgesetzes in der bis zum 21. Juli 2013 geltenden Fassung vergleichbare Anlageform vorsieht, oder</w:t>
      </w:r>
    </w:p>
    <w:p>
      <w:pPr>
        <w:ind w:left="420"/>
      </w:pPr>
      <w:r>
        <w:t xml:space="preserve">4. Anteile oder Aktien an mit Nummer 2 oder 3 vergleichbaren EU-AIF oder ausländischen AIF</w:t>
      </w:r>
    </w:p>
    <w:p>
      <w:r>
        <w:t xml:space="preserve">unter Einhaltung der Anlagegrenzen, der zusätzlichen Angaben im Verkaufsprospekt und in den Vertragsbedingungen gemäß § 84 Absatz 2, 3 in Verbindung mit § 113 Absatz 3 und 4 Satz 2 und 3, in Verbindung mit § 117 Absatz 1 Satz 2, in Verbindung mit § 118 Satz 2 sowie § 85 des Investmentgesetzes in der bis zum 21. Juli 2013 geltenden Fassung erworben haben, dürfen diese gehaltenen Anteile oder Aktien abweichend von § 219 auch nach dem 21. Juli 2013 weiter halten. Auf die Verwaltung von Gemischten Investmentvermögen im Sinne des Satzes 1 Nummer 1 oder 4, deren Vertragsbedingungen es erlauben, die Mittel zu mehr als 50 Prozent des Wertes des Vermögens des Gemischten Investmentvermögens in Anteile an Immobilien-Sondervermögen in Form von Publikumsinvestmentvermögen sowie in Anteile an vergleichbaren EU-AIF oder ausländischen AIF anzulegen, ist § 255 Absatz 3 und 4 anzuwenden, solange die Anteile nach Satz 1 Nummer 1 oder Nummer 4 weiter gehalten werden. Im Übrigen gelten für diese Gemischten Investmentvermögen im Sinne des Satzes 1 die Vorschriften dieses Gesetzes einschließlich der Übergangsvorschriften.</w:t>
      </w:r>
    </w:p>
    <w:p>
      <w:r>
        <w:rPr>
          <w:color w:val="555555"/>
          <w:sz w:val="17"/>
        </w:rPr>
        <w:t xml:space="preserve">Zitiervorschlag: § 348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