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347 KAGB — Besondere Übergangsvorschriften für Altersvorsorge-Sondervermögen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Altersvorsorge-Sondervermögen im Sinne des § 87 des Investmentgesetzes in der bis zum 21. Juli 2013 geltenden Fassung, die vor dem 22. Juli 2013 im Sinne des § 343 Absatz 4 aufgelegt wurden, gelten nach Inkrafttreten der Änderungen der Anlagebedingungen zusätzlich zu den in § 345 Absatz 1 Satz 11 genannten Vorschriften § 87 Absatz 2 sowie die §§ 88 bis 90 und 143 Absatz 3 Nummer 6 Buchstabe b des Investmentgesetzes in der bis zum 21. Juli 2013 geltenden Fassung entsprechend. Die in § 345 Absatz 1 Satz 11 genannten Vorschriften dieses Gesetzes, die sich auf Publikums-AIF beziehen, gelten jedoch nur, soweit sich aus § 87 Absatz 2 sowie den §§ 88 bis 90 und 99 Absatz 3 des Investmentgesetzes in der bis zum 21. Juli 2013 geltenden Fassung nichts anderes ergibt.</w:t>
      </w:r>
    </w:p>
    <w:p>
      <w:r>
        <w:t xml:space="preserve">(2) Nach dem 21. Juli 2013 dürfen Altersvorsorge-Sondervermögen im Sinne des § 87 des Investmentgesetzes in der bis zum 21. Juli 2013 geltenden Fassung nicht mehr aufgelegt im Sinne des § 343 Absatz 4 werden.</w:t>
      </w:r>
    </w:p>
    <w:p>
      <w:r>
        <w:rPr>
          <w:color w:val="555555"/>
          <w:sz w:val="17"/>
        </w:rPr>
        <w:t xml:space="preserve">Zitiervorschlag: § 347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