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345 KAGB — Übergangsvorschriften für offene AIF und AIF-Verwaltungsgesellschaften, die offene AIF verwalten, die bereits nach dem Investmentgesetz reguliert waren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Eine AIF-Kapitalverwaltungsgesellschaft, die bei Inkrafttreten dieses Gesetzes</w:t>
      </w:r>
    </w:p>
    <w:p>
      <w:pPr>
        <w:ind w:left="420"/>
      </w:pPr>
      <w:r>
        <w:t xml:space="preserve">1. über eine Erlaubnis als Kapitalanlagegesellschaft nach § 7 Absatz 1 des Investmentgesetzes in der bis zum 21. Juli 2013 geltenden Fassung oder als Investmentaktiengesellschaft nach § 97 Absatz 1 des Investmentgesetzes in der bis zum 21. Juli 2013 geltenden Fassung verfügt und</w:t>
      </w:r>
    </w:p>
    <w:p>
      <w:pPr>
        <w:ind w:left="420"/>
      </w:pPr>
      <w:r>
        <w:t xml:space="preserve">2. inländische offene Publikums-AIF verwaltet, die vor dem 22. Juli 2013 im Sinne des § 343 Absatz 4 aufgelegt und deren Anlagebedingungen gemäß den §§ 43, 43a des Investmentgesetzes in der bis zum 21. Juli 2013 geltenden Fassung genehmigt wurden,</w:t>
      </w:r>
    </w:p>
    <w:p>
      <w:r>
        <w:t xml:space="preserve">hat die Anlagebedingungen und gegebenenfalls die Satzung dieser inländischen offenen Publikums-AIF an die Vorschriften dieses Gesetzes anzupassen; die geänderten Anlagebedingungen müssen spätestens am 21. Juli 2014 in Kraft treten. Die für die Anpassung erforderlichen Änderungen der Anlagebedingungen müssen nur dann von der Bundesanstalt genehmigt werden, wenn es sich bei diesen Änderungen nicht um rein redaktionelle Änderungen auf Grund der Anpassungen an die Begrifflichkeiten nach diesem Gesetz handelt. Andere als die zur Anpassung der Anlagebedingungen an die Vorschriften dieses Gesetzes notwendigen Änderungen dürfen in den Anlagebedingungen nicht vorgenommen werden. Für die Genehmigung der Anlagebedingungen gilt nur § 163 Absatz 2 Satz 1 bis 4, 7 bis 10 und Absatz 4 Satz 1, 6 und 7 mit der Maßgabe, dass die in § 163 Absatz 2 Satz 1 genannte Frist zwei Monate ab Einreichung des Antrags auf Genehmigung der Anlagebedingungen beträgt. Auf rein redaktionelle Änderungen von Anlagebedingungen im Sinne des Satzes 2 ist § 163 nicht anzuwenden, jedoch gilt für die Bekanntmachung der Änderungen und deren Inkrafttreten § 163 Absatz 4 Satz 1 und 6 erster Halbsatz entsprechend; die redaktionell angepassten Anlagebedingungen sind bei der Bundesanstalt einzureichen. Der Antrag auf Genehmigung der Änderungen der Anlagebedingungen oder, falls ein solcher nach Satz 2 nicht erforderlich ist, die redaktionell angepassten Anlagebedingungen dürfen nicht nach dem Erlaubnisantrag gemäß § 22 bei der Bundesanstalt eingereicht werden. Wird der Antrag auf Genehmigung der Änderungen der Anlagebedingungen oder werden, falls ein solcher nach Satz 2 nicht erforderlich ist, die redaktionell angepassten Anlagebedingungen vor dem Erlaubnisantrag gemäß § 22 eingereicht, muss die AIF-Kapitalverwaltungsgesellschaft bei der Einreichung verbindlich gegenüber der Bundesanstalt erklären, spätestens bis zum 21. Juli 2014 einen Antrag auf Erlaubnis nach den §§ 20 und 22 zu stellen. Die Bundesanstalt ist unverzüglich über den Zeitpunkt des Inkrafttretens der Änderungen der Anlagebedingungen zu informieren. Bis zum Inkrafttreten der Änderungen der Anlagebedingungen der verwalteten inländischen offenen Publikums-AIF im Sinne des Satzes 1 Nummer 2, spätestens jedoch bis zum 21. Juli 2014, sind für diese AIF die für entsprechende Publikums-AIF geltenden Vorschriften des Investmentgesetzes in der bis zum 21. Juli 2013 geltenden Fassung weiter anzuwenden. Die §§ 1 und 2 sowie die Vorschriften dieses Gesetzes betreffend die für Umstellung auf das neue Recht erforderlichen Anträge, Verwaltungsverfahren und Bescheide sowie die Übergangsvorschriften nach diesem Gesetz bleiben unberührt. Ab Inkrafttreten der geänderten Anlagebedingungen, spätestens jedoch ab dem 22. Juli 2014, sind auf die inländischen offenen Publikums-AIF die Vorschriften dieses Gesetzes anzuwenden.</w:t>
      </w:r>
    </w:p>
    <w:p>
      <w:r>
        <w:t xml:space="preserve">(2) Bis zum Eingang des Erlaubnisantrags nach § 22 bei der Bundesanstalt, spätestens jedoch bis zum Ablauf des 21. Juli 2014, gelten für eine AIF-Kapitalverwaltungsgesellschaft im Sinne des Absatzes 1 Satz 1 die Vorschriften des Investmentgesetzes in der bis zum 21. Juli 2013 geltenden Fassung weiter. Absatz 1 Satz 10 gilt entsprechend. Soweit sich aus Absatz 1 Satz 9 nichts anderes ergibt, ist ab Eingang des Erlaubnisantrags nach § 22, spätestens jedoch ab dem 22. Juli 2014, dieses Gesetz vollständig auf die AIF-Kapitalverwaltungsgesellschaft im Sinne des Absatzes 1 Satz 1 anzuwenden mit der Maßgabe, dass im Hinblick auf die Verwaltung und den Vertrieb von Publikums-AIF im Sinne des Absatzes 1 Satz 1 Nummer 2 im Geltungsbereich dieses Gesetzes und so lange der Erlaubnisantrag, der bis zum 21. Juli 2014 einzureichen ist, noch nicht beschieden wurde, das Erfordernis der Erlaubnis durch den noch nicht beschiedenen vollständigen Erlaubnisantrag ersetzt wird. Haben die in Absatz 1 Satz 1 genannten AIF-Kapitalverwaltungsgesellschaften bis zum Ablauf des 21. Juli 2014 keinen Antrag auf Erlaubnis gemäß § 22 gestellt, ist § 343 Absatz 5 anzuwenden.</w:t>
      </w:r>
    </w:p>
    <w:p>
      <w:r>
        <w:t xml:space="preserve">(3) Eine AIF-Kapitalverwaltungsgesellschaft, die bei Inkrafttreten dieses Gesetzes</w:t>
      </w:r>
    </w:p>
    <w:p>
      <w:pPr>
        <w:ind w:left="420"/>
      </w:pPr>
      <w:r>
        <w:t xml:space="preserve">1. über eine Erlaubnis als Kapitalanlagegesellschaft nach § 7 Absatz 1 des Investmentgesetzes in der bis zum 21. Juli 2013 geltenden Fassung oder über eine Erlaubnis als Investmentaktiengesellschaft nach § 97 Absatz 1 des Investmentgesetzes in der bis zum 21. Juli 2013 geltenden Fassung verfügt und</w:t>
      </w:r>
    </w:p>
    <w:p>
      <w:pPr>
        <w:ind w:left="420"/>
      </w:pPr>
      <w:r>
        <w:t xml:space="preserve">2. inländische offene Spezial-AIF verwaltet, die vor dem 22. Juli 2013 im Sinne des § 343 Absatz 4 aufgelegt wurden,</w:t>
      </w:r>
    </w:p>
    <w:p>
      <w:r>
        <w:t xml:space="preserve">hat die Anlagebedingungen und gegebenenfalls die Satzung dieser inländischen offenen Spezial-AIF spätestens bis zum 21. Juli 2014 an die Vorschriften dieses Gesetzes anzupassen und zusammen mit dem Erlaubnisantrag gemäß § 22 einzureichen. Absatz 1 Satz 8 und 9 und Absatz 2 gelten entsprechend.</w:t>
      </w:r>
    </w:p>
    <w:p>
      <w:r>
        <w:t xml:space="preserve">(4) Erfüllt eine AIF-Kapitalverwaltungsgesellschaft im Sinne des Absatzes 3 Satz 1 die Voraussetzungen des § 2 Absatz 4, gelten für sie und die von ihr verwalteten inländischen offenen Spezial-AIF im Sinne des Absatzes 3 Satz 1 bis zum Eingang des Antrags auf Registrierung nach § 44 bei der Bundesanstalt, spätestens jedoch bis zum 21. Juli 2014, die Vorschriften des Investmentgesetzes in der bis zum 21. Juli 2013 geltenden Fassung weiter. Die Übergangsvorschriften, die Vorschriften zur Registrierung sowie die Befugnisse der Bundesanstalt nach diesem Gesetz bleiben unberührt. Ab dem Eingang des Antrags auf Registrierung bei der Bundesanstalt, spätestens ab dem 22. Juli 2014, sind die für diese AIF-Kapitalverwaltungsgesellschaft geltenden Vorschriften dieses Gesetzes anzuwenden.</w:t>
      </w:r>
    </w:p>
    <w:p>
      <w:r>
        <w:t xml:space="preserve">(5) Beantragt eine AIF-Kapitalverwaltungsgesellschaft im Sinne des Absatzes 1 Satz 1 oder des Absatzes 3 Satz 1 gemäß § 22 die Erlaubnis zur Verwaltung von AIF, muss sie diejenigen Angaben und Unterlagen, die sie bereits bei dem Erlaubnisantrag nach § 7 Absatz 1 oder § 97 Absatz 1 des Investmentgesetzes in der bis zum 21. Juli 2013 geltenden Fassung oder im Rahmen der Umstellung ihrer Investmentvermögen auf dieses Gesetz vorgelegt hat, nicht erneut vorlegen, sofern diese Angaben und Unterlagen weiterhin aktuell sind.</w:t>
      </w:r>
    </w:p>
    <w:p>
      <w:r>
        <w:t xml:space="preserve">(6) Eine AIF-Kapitalverwaltungsgesellschaft im Sinne des Absatzes 1 Satz 1 darf von ihr verwaltete inländische offene Publikums-AIF im Sinne des Absatzes 1 Satz 1 Nummer 2 nach dem 21. Juli 2013 im Geltungsbereich dieses Gesetzes nach den Vorschriften des Investmentgesetzes in der bis zum 21. Juli 2013 geltenden Fassung weiter vertreiben. Das Vertriebsrecht nach Satz 1 endet,</w:t>
      </w:r>
    </w:p>
    <w:p>
      <w:pPr>
        <w:ind w:left="420"/>
      </w:pPr>
      <w:r>
        <w:t xml:space="preserve">1. wenn die Bundesanstalt den Vertrieb untersagt hat,</w:t>
      </w:r>
    </w:p>
    <w:p>
      <w:pPr>
        <w:ind w:left="420"/>
      </w:pPr>
      <w:r>
        <w:t xml:space="preserve">2. wenn die Bundesanstalt die Erlaubnis nach § 23 versagt hat,</w:t>
      </w:r>
    </w:p>
    <w:p>
      <w:pPr>
        <w:ind w:left="420"/>
      </w:pPr>
      <w:r>
        <w:t xml:space="preserve">3. mit dem Inkrafttreten der Änderungen der Anlagebedingungen gemäß Absatz 1,</w:t>
      </w:r>
    </w:p>
    <w:p>
      <w:pPr>
        <w:ind w:left="420"/>
      </w:pPr>
      <w:r>
        <w:t xml:space="preserve">4. spätestens jedoch mit Ablauf des 21. Juli 2014.</w:t>
      </w:r>
    </w:p>
    <w:p>
      <w:r>
        <w:t xml:space="preserve">Ein Vertrieb der in Satz 1 genannten inländischen offenen Publikums-AIF nach dem 21. Juli 2014 oder, sofern die Änderungen der Anlagebedingungen nach Absatz 2 früher in Kraft treten, nach dem Inkrafttreten der Änderungen der Anlagebedingungen gemäß Absatz 2 ist nur zulässig, wenn die AIF-Kapitalverwaltungsgesellschaft bis zu dem früheren der beiden Zeitpunkte das Anzeigeverfahren nach § 316 erfolgreich durchlaufen hat. § 316 Absatz 1 bis 3 ist für das Anzeigeverfahren im Sinne des Satzes 3 mit den Maßgaben anzuwenden, dass</w:t>
      </w:r>
    </w:p>
    <w:p>
      <w:pPr>
        <w:ind w:left="420"/>
      </w:pPr>
      <w:r>
        <w:t xml:space="preserve">1. die Frist nach § 316 Absatz 3 zwei Monate beträgt,</w:t>
      </w:r>
    </w:p>
    <w:p>
      <w:pPr>
        <w:ind w:left="420"/>
      </w:pPr>
      <w:r>
        <w:t xml:space="preserve">2. die Vertriebsanzeige zusammen mit dem Erlaubnisantrag gemäß § 22 eingereicht werden muss,</w:t>
      </w:r>
    </w:p>
    <w:p>
      <w:pPr>
        <w:ind w:left="420"/>
      </w:pPr>
      <w:r>
        <w:t xml:space="preserve">3. solange der bei der Bundesanstalt eingereichte Erlaubnisantrag gemäß § 22 noch nicht beschieden ist, das Erfordernis der Erlaubnis nach § 22 durch den bei der Bundesanstalt eingereichten, aber noch nicht beschiedenen vollständigen Erlaubnisantrag ersetzt wird.</w:t>
      </w:r>
    </w:p>
    <w:p>
      <w:r>
        <w:t xml:space="preserve">Der Vertrieb nach den Vorschriften dieses Gesetzes darf erst nach der Mitteilung nach § 316 Absatz 3 und nach Inkrafttreten der Änderungen der Anlagebedingungen fortgesetzt werden. In dem Zeitraum, in dem das Erfordernis der Erlaubnis nach § 22 durch den bei der Bundesanstalt eingereichten, aber noch nicht beschiedenen Erlaubnisantrag ersetzt wird, sind in dem Verkaufsprospekt und den wesentlichen Anlegerinformationen die Anleger drucktechnisch herausgestellt an hervorgehobener Stelle über die fehlende Erlaubnis der AIF-Kapitalverwaltungsgesellschaft und die Folgen einer Erlaubnisversagung hinzuweisen. Das Vertriebsrecht erlischt, wenn die Erlaubnis gemäß § 23 versagt wird.</w:t>
      </w:r>
    </w:p>
    <w:p>
      <w:r>
        <w:t xml:space="preserve">(7) Für eine AIF-Kapitalverwaltungsgesellschaft im Sinne des Absatzes 3 Satz 1 und den Vertrieb der von ihr verwalteten inländischen offenen Spezial-AIF im Sinne des Absatzes 3 Satz 1 Nummer 2 nach dem 21. Juli 2013 im Geltungsbereich dieses Gesetzes an professionelle oder semiprofessionelle Anleger gilt Absatz 6 entsprechend mit der Maßgabe, dass jeweils an die Stelle des § 316 der § 321 und an die Stelle von inländischen offenen Publikums-AIF inländische offene Spezial-AIF treten.</w:t>
      </w:r>
    </w:p>
    <w:p>
      <w:r>
        <w:t xml:space="preserve">(8) AIF-Verwaltungsgesellschaften, die bei Inkrafttreten dieses Gesetzes eine Anzeige nach § 139 Absatz 1 des Investmentgesetzes in der bis zum 21. Juli 2013 geltenden Fassung oder nach § 7 Absatz 1 des Auslandsinvestmentgesetzes in der bis zum 31. Dezember 2003 geltenden Fassung erstattet haben und zum öffentlichen Vertrieb von Anteilen oder Aktien eines von ihr verwalteten AIF berechtigt sind und diese auch nach dem 21. Juli 2014 im Geltungsbereich dieses Gesetzes zu vertreiben beabsichtigen, müssen</w:t>
      </w:r>
    </w:p>
    <w:p>
      <w:pPr>
        <w:ind w:left="420"/>
      </w:pPr>
      <w:r>
        <w:t xml:space="preserve">1. in Bezug auf</w:t>
      </w:r>
    </w:p>
    <w:p>
      <w:pPr>
        <w:ind w:left="780"/>
      </w:pPr>
      <w:r>
        <w:t xml:space="preserve">a) EU-AIF und</w:t>
      </w:r>
    </w:p>
    <w:p>
      <w:pPr>
        <w:ind w:left="780"/>
      </w:pPr>
      <w:r>
        <w:t xml:space="preserve">b) ausländische AIF,</w:t>
      </w:r>
    </w:p>
    <w:p>
      <w:pPr>
        <w:ind w:left="420"/>
      </w:pPr>
      <w:r>
        <w:t xml:space="preserve">die im Geltungsbereich dieses Gesetzes an Privatanleger vertrieben werden, eine Anzeige nach § 320 an die Bundesanstalt übermitteln,</w:t>
      </w:r>
    </w:p>
    <w:p>
      <w:pPr>
        <w:ind w:left="420"/>
      </w:pPr>
      <w:r>
        <w:t xml:space="preserve">2. in Bezug auf</w:t>
      </w:r>
    </w:p>
    <w:p>
      <w:pPr>
        <w:ind w:left="780"/>
      </w:pPr>
      <w:r>
        <w:t xml:space="preserve">a) ausländische AIF und</w:t>
      </w:r>
    </w:p>
    <w:p>
      <w:pPr>
        <w:ind w:left="780"/>
      </w:pPr>
      <w:r>
        <w:t xml:space="preserve">b) EU-Feeder-AIF, deren Master-AIF keine EU-AIF oder inländischen AIF sind, die von einer EU-AIF-Verwaltungsgesellschaft oder einer AIF-Kapitalverwaltungsgesellschaft verwaltet werden,</w:t>
      </w:r>
    </w:p>
    <w:p>
      <w:pPr>
        <w:ind w:left="420"/>
      </w:pPr>
      <w:r>
        <w:t xml:space="preserve">und die im Geltungsbereich dieses Gesetzes von einer AIF-Kapitalverwaltungsgesellschaft oder einer EU-AIF-Verwaltungsgesellschaft an professionelle oder semiprofessionelle Anleger vertrieben werden, eine Anzeige nach § 329 an die Bundesanstalt übermitteln,</w:t>
      </w:r>
    </w:p>
    <w:p>
      <w:pPr>
        <w:ind w:left="420"/>
      </w:pPr>
      <w:r>
        <w:t xml:space="preserve">3. in Bezug auf</w:t>
      </w:r>
    </w:p>
    <w:p>
      <w:pPr>
        <w:ind w:left="780"/>
      </w:pPr>
      <w:r>
        <w:t xml:space="preserve">a) EU-AIF und</w:t>
      </w:r>
    </w:p>
    <w:p>
      <w:pPr>
        <w:ind w:left="780"/>
      </w:pPr>
      <w:r>
        <w:t xml:space="preserve">b) EU-Feeder-AIF, deren Master-AIF ein EU-AIF oder inländischer AIF ist, der von einer EU-AIF-Verwaltungsgesellschaft oder einer AIF-Kapitalverwaltungsgesellschaft verwaltet wird,</w:t>
      </w:r>
    </w:p>
    <w:p>
      <w:pPr>
        <w:ind w:left="420"/>
      </w:pPr>
      <w:r>
        <w:t xml:space="preserve">und die im Geltungsbereich dieses Gesetzes von einer EU-AIF-Verwaltungsgesellschaft an professionelle oder semiprofessionelle Anleger vertrieben werden, über die zuständigen Stellen des Herkunftsmitgliedstaates der EU-AIF-Verwaltungsgesellschaft eine Anzeige nach § 323 übermitteln,</w:t>
      </w:r>
    </w:p>
    <w:p>
      <w:pPr>
        <w:ind w:left="420"/>
      </w:pPr>
      <w:r>
        <w:t xml:space="preserve">4. in Bezug auf</w:t>
      </w:r>
    </w:p>
    <w:p>
      <w:pPr>
        <w:ind w:left="780"/>
      </w:pPr>
      <w:r>
        <w:t xml:space="preserve">a) ausländische AIF und</w:t>
      </w:r>
    </w:p>
    <w:p>
      <w:pPr>
        <w:ind w:left="780"/>
      </w:pPr>
      <w:r>
        <w:t xml:space="preserve">b) EU-AIF,</w:t>
      </w:r>
    </w:p>
    <w:p>
      <w:pPr>
        <w:ind w:left="420"/>
      </w:pPr>
      <w:r>
        <w:t xml:space="preserve">die im Geltungsbereich dieses Gesetzes von einer ausländischen AIF-Verwaltungsgesellschaft an professionelle oder semiprofessionelle Anleger vertrieben werden, eine Anzeige nach § 330 an die Bundesanstalt übermitteln,</w:t>
      </w:r>
    </w:p>
    <w:p>
      <w:pPr>
        <w:ind w:left="420"/>
      </w:pPr>
      <w:r>
        <w:t xml:space="preserve">5. in Bezug auf AIF, die im Geltungsbereich dieses Gesetzes von einer EU-AIF-Verwaltungsgesellschaft, die die Bedingungen nach Artikel 3 Absatz 2 der Richtlinie 2011/61/EU erfüllt, an professionelle oder semiprofessionelle Anleger vertrieben werden, eine Anzeige nach § 330a an die Bundesanstalt übermitteln.</w:t>
      </w:r>
    </w:p>
    <w:p>
      <w:r>
        <w:t xml:space="preserve">Die AIF-Verwaltungsgesellschaft darf den AIF im Sinne von Satz 1 noch bis zum Abschluss des Anzeigeverfahrens im Geltungsbereich dieses Gesetzes nach den Vertriebsvorschriften des Investmentgesetzes in der bis zum 21. Juli 2013 geltenden Fassung vertreiben. Das Vertriebsrecht nach Satz 2 endet spätestens am 21. Juli 2014. Wird kein weiterer Vertrieb des AIF im Sinne von Satz 1 beabsichtigt, gilt § 315 entsprechend. Eine neue Vertriebsanzeige nach Satz 1 ist jederzeit möglich.</w:t>
      </w:r>
    </w:p>
    <w:p>
      <w:r>
        <w:t xml:space="preserve">(9) AIF-Verwaltungsgesellschaften, die in Bezug auf ihre EU-AIF oder ausländischen AIF nach dem 21. Juli 2014 Tätigkeiten ausüben oder ausüben lassen, die zwar nach dem Investmentgesetz in der bis zum 21. Juli 2013 geltenden Fassung nicht als öffentlicher Vertrieb galten, nach diesem Gesetz aber als Vertrieb anzusehen sind, haben, gegebenenfalls über die zuständigen Stellen des Herkunftsmitgliedstaates, eine Anzeige nach den §§ 320, 323, 329, 330 oder 330a zu übermitteln. Absatz 8 Satz 2, 3 und 5 gilt entsprechend.</w:t>
      </w:r>
    </w:p>
    <w:p>
      <w:r>
        <w:t xml:space="preserve">(10) AIF-Kapitalverwaltungsgesellschaften, die bei Inkrafttreten dieses Gesetzes in einem anderen Mitgliedstaat der Europäischen Union oder in einem anderen Vertragsstaat des Abkommens über den Europäischen Wirtschaftsraum zum Vertrieb eines ab dem 22. Juli 2013 der Anzeigepflicht nach § 331 unterfallenden AIF an professionelle Anleger berechtigt sind, dürfen diesen nach dem 21. Juli 2014 dort nicht mehr vertreiben, es sei denn, sie haben ein neues Vertriebsrecht nach § 331 Absatz 5 Satz 2 erhalten. Abweichende Fristen in dem Mitgliedstaat der Europäischen Union oder in dem anderen Vertragsstaat des Abkommens über den Europäischen Wirtschaftsraum, in dem der AIF bisher zum Vertrieb an professionelle Anleger zugelassen war, bleiben unberührt. Die Fristen nach § 331 Absatz 3 und 4 beginnen zu laufen, sobald die Bundesanstalt der AIF-Kapitalverwaltungsgesellschaft eine Erlaubnis gemäß § 22 erteilt hat und die Änderungen der Anlagebedingungen in Kraft getreten sind.</w:t>
      </w:r>
    </w:p>
    <w:p>
      <w:r>
        <w:t xml:space="preserve">(11) Für Verwahrstellen von inländischen offenen Publikums-AIF ist keine erneute Genehmigung nach § 69 Absatz 1 Satz 1, auch in Verbindung mit § 87, erforderlich, wenn deren Auswahl bereits nach § 21 Absatz 1 des Investmentgesetzes in der bis zum 21. Juli 2013 geltenden Fassung genehmigt worden ist.</w:t>
      </w:r>
    </w:p>
    <w:p>
      <w:r>
        <w:t xml:space="preserve">(12) Der Antrag einer AIF-Kapitalverwaltungsgesellschaft, der auf eine Genehmigung der Anlagebedingungen eines AIF durch die Bundesanstalt nach dem Investmentgesetz gerichtet ist und der vor dem 21. Juli 2013 bei der Bundesanstalt eingegangen ist, jedoch bis zum Ablauf des 21. Juli 2013 noch nicht genehmigt war, gilt als am 22. Juli 2013 gestellter Antrag auf Genehmigung der Anlagebedingungen nach diesem Gesetz. Sofern nach diesem Gesetz erforderliche Angaben oder Dokumente fehlen, hat die Bundesanstalt diese nachzufordern.</w:t>
      </w:r>
    </w:p>
    <w:p>
      <w:r>
        <w:rPr>
          <w:color w:val="555555"/>
          <w:sz w:val="17"/>
        </w:rPr>
        <w:t xml:space="preserve">Zitiervorschlag: § 345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