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KAGB — Übergangsvorschriften für ausländische AIF-Verwaltungsgesellschaften und für andere Vertragsstaaten des Abkommens über den Europäischen Wirtschaftsraum</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 56 bis 66 sind erst ab dem Zeitpunkt anzuwenden, auf den in § 295 Absatz 2 Nummer 1 verwiesen wird.</w:t>
      </w:r>
    </w:p>
    <w:p>
      <w:r>
        <w:t xml:space="preserve">(2) Bezieht sich dieses Gesetz auf andere Vertragsstaaten des Abkommens über den Europäischen Wirtschaftsraum oder das Abkommen über den Europäischen Wirtschaftsraum, so gilt diese Bezugnahme jeweils erst ab dem Zeitpunkt, ab dem die für die entsprechende Vorschrift dieses Gesetzes maßgeblichen Rechtsakte der Europäischen Union gemäß Artikel 7 des Abkommens über den Europäischen Wirtschaftsraum für die Vertragsparteien verbindlich sind und in dem betreffenden anderen Vertragsstaat des Abkommens über den Europäischen Wirtschaftsraum Teil des innerstaatlichen Rechts oder in innerstaatliches Recht umgesetzt sind.</w:t>
      </w:r>
    </w:p>
    <w:p>
      <w:r>
        <w:t xml:space="preserve">(3) Unmittelbar geltende Rechtsakte der Europäischen Union gelten im Geltungsbereich dieses Gesetzes entsprechend auch für die Vertragsstaaten des Abkommens über den Europäischen Wirtschaftsraum, die keine Mitgliedstaaten der Europäischen Union sind, soweit diese Rechtsakte gemäß Artikel 7 des Abkommens über den Europäischen Wirtschaftsraum für die Vertragsparteien verbindlich sind und in dem betreffenden anderen Vertragsstaat des Abkommens über den Europäischen Wirtschaftsraum Teil des innerstaatlichen Rechts oder in innerstaatliches Recht umgesetzt sind.</w:t>
      </w:r>
    </w:p>
    <w:p>
      <w:r>
        <w:rPr>
          <w:color w:val="555555"/>
          <w:sz w:val="17"/>
        </w:rPr>
        <w:t xml:space="preserve">Zitiervorschlag: § 344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