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342 KAGB — Beschwerdeverfahren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10.09.2021 (konsolidierte Textfassung, kein amtliches Inkrafttretensdatum)</w:t>
      </w:r>
    </w:p>
    <w:p>
      <w:r>
        <w:t xml:space="preserve">(1) Anleger und Kunden können jederzeit wegen behaupteter Verstöße gegen dieses Gesetz Beschwerde bei der Bundesanstalt einlegen.</w:t>
      </w:r>
    </w:p>
    <w:p>
      <w:r>
        <w:t xml:space="preserve">(2) Beschwerden sind in Textform bei der Bundesanstalt einzulegen und sollen den Sachverhalt sowie den Beschwerdegrund angeben.</w:t>
      </w:r>
    </w:p>
    <w:p>
      <w:r>
        <w:t xml:space="preserve">(3) Soweit behauptete Verstöße nach Absatz 1 grenzüberschreitende Sachverhalte betreffen, arbeitet die Bundesanstalt mit den zuständigen Stellen der anderen Mitgliedstaaten der Europäischen Union oder der anderen Vertragsstaaten des Abkommens über den Europäischen Wirtschaftsraum zusammen; die §§ 8, 9 und 19 gelten entsprechend.</w:t>
      </w:r>
    </w:p>
    <w:p>
      <w:r>
        <w:rPr>
          <w:color w:val="555555"/>
          <w:sz w:val="17"/>
        </w:rPr>
        <w:t xml:space="preserve">Zitiervorschlag: § 342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https://recht.nulegal.eu/gesetze/KAGB/342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