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341a KAGB — Bekanntmachung von bestandskräftigen Maßnahmen und unanfechtbar gewordenen Bußgeldentscheidungen</w:t>
      </w:r>
    </w:p>
    <w:p>
      <w:r>
        <w:rPr>
          <w:color w:val="555555"/>
          <w:sz w:val="18"/>
        </w:rPr>
        <w:t xml:space="preserve">Kapitalanlagegesetzbuch</w:t>
      </w:r>
    </w:p>
    <w:p>
      <w:r>
        <w:rPr>
          <w:color w:val="555555"/>
          <w:sz w:val="18"/>
        </w:rPr>
        <w:t xml:space="preserve">Stand: 04.01.2025 (konsolidierte Textfassung, kein amtliches Inkrafttretensdatum)</w:t>
      </w:r>
    </w:p>
    <w:p>
      <w:r>
        <w:t xml:space="preserve">(1) Bestandskräftige Maßnahmen und unanfechtbar gewordene Bußgeldentscheidungen der Bundesanstalt nach diesem Gesetz</w:t>
      </w:r>
    </w:p>
    <w:p>
      <w:pPr>
        <w:ind w:left="420"/>
      </w:pPr>
      <w:r>
        <w:t xml:space="preserve">1. wegen Verstößen gegen Gebote und Verbote im Zusammenhang mit OGAW, die in § 340 Absatz 7 Nummer 1 in Bezug genommen werden, sowie wegen Verstößen gegen Gebote und Verbote nach den Artikeln 6, 7, 9 oder 27 Absatz 1 der Verordnung (EU) 2017/2402 muss die Bundesanstalt und</w:t>
      </w:r>
    </w:p>
    <w:p>
      <w:pPr>
        <w:ind w:left="420"/>
      </w:pPr>
      <w:r>
        <w:t xml:space="preserve">2. wegen Verstößen gegen Gebote und Verbote, die in § 340 Absatz 7 Nummer 2 oder Nummer 3 oder Absatz 3 oder im Zusammenhang mit AIF in § 340 Absatz 7 Nummer 1 in Bezug genommen werden, kann die Bundesanstalt und</w:t>
      </w:r>
    </w:p>
    <w:p>
      <w:pPr>
        <w:ind w:left="420"/>
      </w:pPr>
      <w:r>
        <w:t xml:space="preserve">3. wegen Verstößen gegen die Verordnung (EU) 2015/2365, die Verordnung (EU) 2016/1011 und die Verordnung (EU) 2022/2554 im Zusammenhang mit OGAW und AIF muss die Bundesanstalt</w:t>
      </w:r>
    </w:p>
    <w:p>
      <w:r>
        <w:t xml:space="preserve">nach Unterrichtung des Adressaten der Maßnahme oder Bußgeldentscheidung auf ihrer Internetseite bekanntmachen. In der Bekanntmachung sind Art und Charakter des Verstoßes und die für den Verstoß verantwortlichen natürlichen Personen und juristischen Personen oder Personenvereinigungen zu benennen. Betreffen die bestandskräftigen Maßnahmen oder unanfechtbar gewordenen Bußgeldentscheidungen nach Satz 1 Nummer 1 Verstöße gegen die Verordnung (EU) 2017/2402, so ist zusätzlich die verhängte Maßnahme oder Bußgeldentscheidung zu nennen.</w:t>
      </w:r>
    </w:p>
    <w:p>
      <w:r>
        <w:t xml:space="preserve">(2) Die Bekanntmachung nach Absatz 1 ist solange aufzuschieben, bis die Gründe für die Nichtbekanntmachung entfallen sind, wenn</w:t>
      </w:r>
    </w:p>
    <w:p>
      <w:pPr>
        <w:ind w:left="420"/>
      </w:pPr>
      <w:r>
        <w:t xml:space="preserve">1. die Bekanntmachung der Identität der juristischen Personen oder Personenvereinigung oder der personenbezogenen Daten natürlicher Personen unverhältnismäßig wäre,</w:t>
      </w:r>
    </w:p>
    <w:p>
      <w:pPr>
        <w:ind w:left="420"/>
      </w:pPr>
      <w:r>
        <w:t xml:space="preserve">2. die Bekanntmachung die Stabilität der Finanzmärkte gefährden würde oder</w:t>
      </w:r>
    </w:p>
    <w:p>
      <w:pPr>
        <w:ind w:left="420"/>
      </w:pPr>
      <w:r>
        <w:t xml:space="preserve">3. die Bekanntmachung laufende Ermittlungen gefährden würde.</w:t>
      </w:r>
    </w:p>
    <w:p>
      <w:r>
        <w:t xml:space="preserve">Anstelle einer Aufschiebung kann die Bekanntmachung auf anonymisierter Basis erfolgen, wenn hierdurch ein wirksamer Schutz der Informationen nach Satz 1 Nummer 1 gewährleistet ist. Erfolgt die Bekanntmachung gemäß Satz 2 auf anonymisierter Basis und ist vorhersehbar, dass die Gründe der anonymisierten Bekanntmachung innerhalb eines überschaubaren Zeitraums wegfallen werden, so kann die Bekanntmachung der Informationen nach Satz 1 Nummer 1 entsprechend aufgeschoben werden.</w:t>
      </w:r>
    </w:p>
    <w:p>
      <w:r>
        <w:t xml:space="preserve">(3) Eine Bekanntmachung darf nicht erfolgen, wenn die Maßnahmen nach Absatz 2 nicht ausreichend sind, um eine Gefährdung der Finanzmarktstabilität auszuschließen oder die Verhältnismäßigkeit der Bekanntmachung in Ansehung des Verstoßes sicherzustellen. Zudem darf eine Bekanntmachung nach Absatz 1 Satz 1 Nummer 2 nicht erfolgen, wenn sich diese nachteilig auf die Interessen der Anleger auswirken würde.</w:t>
      </w:r>
    </w:p>
    <w:p>
      <w:r>
        <w:t xml:space="preserve">(4) Die nach Absatz 1 Satz 1 Nummer 1 und Nummer 3 bekanntgemachten Maßnahmen und Bußgeldentscheidungen sollen fünf Jahre lang auf der Internetseite der Bundesanstalt veröffentlicht bleiben. Die Bekanntmachung nach Absatz 1 Satz 1 Nummer 2 ist zu löschen, wenn sie nicht mehr erforderlich ist, spätestens aber nach fünf Jahren.</w:t>
      </w:r>
    </w:p>
    <w:p>
      <w:r>
        <w:t xml:space="preserve">(5) Die Bundesanstalt macht Vertriebsuntersagungen nach § 5 Absatz 6, den §§ 11, 311 oder § 314 im Bundesanzeiger bekannt, falls ein Vertrieb bereits stattgefunden hat. Entstehen der Bundesanstalt durch die Bekanntmachung nach Satz 1 Kosten, sind ihr diese von der Verwaltungsgesellschaft zu erstatten.</w:t>
      </w:r>
    </w:p>
    <w:p>
      <w:r>
        <w:rPr>
          <w:color w:val="555555"/>
          <w:sz w:val="17"/>
        </w:rPr>
        <w:t xml:space="preserve">Zitiervorschlag: § 341a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https://recht.nulegal.eu/gesetze/KAGB/341a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