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341 KAGB — Beteiligung der Bundesanstalt und Mitteilungen in Strafsachen</w:t>
      </w:r>
    </w:p>
    <w:p>
      <w:r>
        <w:rPr>
          <w:color w:val="555555"/>
          <w:sz w:val="18"/>
        </w:rPr>
        <w:t xml:space="preserve">Kapitalanlagegesetzbuch</w:t>
      </w:r>
    </w:p>
    <w:p>
      <w:r>
        <w:rPr>
          <w:color w:val="555555"/>
          <w:sz w:val="18"/>
        </w:rPr>
        <w:t xml:space="preserve">Stand: 29.12.2020 (konsolidierte Textfassung, kein amtliches Inkrafttretensdatum)</w:t>
      </w:r>
    </w:p>
    <w:p>
      <w:r>
        <w:t xml:space="preserve">(1) Das Gericht, die Strafverfolgungs- oder die Strafvollstreckungsbehörde hat in Strafverfahren gegen bedeutend beteiligte Inhaber, Geschäftsleiter oder Mitglieder der Verwaltungs- oder Aufsichtsorgane von Verwaltungsgesellschaften, extern verwalteten Investmentgesellschaften oder Verwahrstellen oder deren jeweilige gesetzliche Vertreter oder persönlich haftende Gesellschafter wegen Verletzung ihrer Berufspflichten oder anderer Straftaten bei oder im Zusammenhang mit der Ausübung eines Gewerbes oder dem Betrieb einer sonstigen wirtschaftlichen Unternehmung, ferner in Strafverfahren, die Straftaten nach § 339 zum Gegenstand haben, im Fall der Erhebung der öffentlichen Klage der Bundesanstalt</w:t>
      </w:r>
    </w:p>
    <w:p>
      <w:pPr>
        <w:ind w:left="420"/>
      </w:pPr>
      <w:r>
        <w:t xml:space="preserve">1. die Anklageschrift oder eine an ihre Stelle tretende Antragsschrift,</w:t>
      </w:r>
    </w:p>
    <w:p>
      <w:pPr>
        <w:ind w:left="420"/>
      </w:pPr>
      <w:r>
        <w:t xml:space="preserve">2. den Antrag auf Erlass eines Strafbefehls und</w:t>
      </w:r>
    </w:p>
    <w:p>
      <w:pPr>
        <w:ind w:left="420"/>
      </w:pPr>
      <w:r>
        <w:t xml:space="preserve">3. die das Verfahren abschließende Entscheidung mit Begründung</w:t>
      </w:r>
    </w:p>
    <w:p>
      <w:r>
        <w:t xml:space="preserve">zu übermitteln; ist gegen die Entscheidung ein Rechtsmittel eingelegt worden, ist die Entscheidung unter Hinweis auf das eingelegte Rechtsmittel zu übermitteln. In Verfahren wegen fahrlässig begangener Straftaten werden die in den Nummern 1 und 2 bestimmten Übermittlungen nur vorgenommen, wenn aus der Sicht der übermittelnden Stelle unverzüglich Entscheidungen oder andere Maßnahmen der Bundesanstalt geboten sind.</w:t>
      </w:r>
    </w:p>
    <w:p>
      <w:r>
        <w:t xml:space="preserve">(2) In Strafverfahren, die Straftaten nach § 339 zum Gegenstand haben, hat die Staatsanwaltschaft die Bundesanstalt bereits über die Einleitung des Ermittlungsverfahrens zu unterrichten, soweit dadurch eine Gefährdung des Ermittlungszwecks nicht zu erwarten ist. Erwägt die Staatsanwaltschaft, das Verfahren einzustellen, so hat sie die Bundesanstalt zu hören.</w:t>
      </w:r>
    </w:p>
    <w:p>
      <w:r>
        <w:t xml:space="preserve">(3) Werden sonst in einem Strafverfahren Tatsachen bekannt, die auf Missstände in dem Geschäftsbetrieb einer Verwaltungsgesellschaft, extern verwalteten Investmentgesellschaft oder Verwahrstelle hindeuten, soll das Gericht, die Strafverfolgungs- oder die Strafvollstreckungsbehörde diese Tatsachen ebenfalls mitteilen, soweit nicht für die übermittelnde Stelle erkennbar ist, dass schutzwürdige Interessen des Betroffenen überwiegen. Dabei ist zu berücksichtigen, wie gesichert die zu übermittelnden Erkenntnisse sind.</w:t>
      </w:r>
    </w:p>
    <w:p>
      <w:r>
        <w:t xml:space="preserve">(4) Der Bundesanstalt ist auf Antrag Akteneinsicht zu gewähren, soweit nicht für die Akteneinsicht gewährende Stelle erkennbar ist, dass schutzwürdige Interessen des Betroffenen überwiegen. Absatz 3 Satz 2 gilt entsprechend.</w:t>
      </w:r>
    </w:p>
    <w:p>
      <w:r>
        <w:rPr>
          <w:color w:val="555555"/>
          <w:sz w:val="17"/>
        </w:rPr>
        <w:t xml:space="preserve">Zitiervorschlag: § 341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