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KAGB — Anzeigepflichten von Verwaltungsgesellschaften gegenüber der Bundesanstalt und der Bundesbank</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Eine Kapitalverwaltungsgesellschaft hat der Bundesanstalt alle wesentlichen Änderungen der Voraussetzungen für die Erlaubnis, insbesondere wesentliche Änderungen der nach § 21 Absatz 1 und § 22 Absatz 1 vorgelegten Angaben, vor Umsetzung der Änderung mitzuteilen.</w:t>
      </w:r>
    </w:p>
    <w:p>
      <w:r>
        <w:t xml:space="preserve">(2) Beschließt die Bundesanstalt, Beschränkungen vorzuschreiben oder eine nach Absatz 1 mitgeteilte Änderung abzulehnen, so setzt sie eine Kapitalverwaltungsgesellschaft innerhalb eines Monats nach Erhalt der Mitteilung davon in Kenntnis. Die Bundesanstalt kann diesen Zeitraum um bis zu einen Monat verlängern, wenn sie dies auf Grund der besonderen Umstände des Einzelfalls der Kapitalverwaltungsgesellschaft für notwendig erachtet. Sie hat die Kapitalverwaltungsgesellschaft über die Verlängerung der Frist nach Satz 2 zu informieren.</w:t>
      </w:r>
    </w:p>
    <w:p>
      <w:r>
        <w:t xml:space="preserve">(3) Unbeschadet der Bestimmungen des Absatzes 1 hat eine Kapitalverwaltungsgesellschaft der Bundesanstalt unverzüglich anzuzeigen:</w:t>
      </w:r>
    </w:p>
    <w:p>
      <w:pPr>
        <w:ind w:left="420"/>
      </w:pPr>
      <w:r>
        <w:t xml:space="preserve">1. den Vollzug der Bestellung einer Person zum Geschäftsleiter;</w:t>
      </w:r>
    </w:p>
    <w:p>
      <w:pPr>
        <w:ind w:left="420"/>
      </w:pPr>
      <w:r>
        <w:t xml:space="preserve">2. das Ausscheiden eines Geschäftsleiters;</w:t>
      </w:r>
    </w:p>
    <w:p>
      <w:pPr>
        <w:ind w:left="420"/>
      </w:pPr>
      <w:r>
        <w:t xml:space="preserve">3. die Übernahme und die Aufgabe einer unmittelbaren oder mittelbaren Beteiligung an einem anderen Unternehmen; als Beteiligung gilt das unmittelbare oder mittelbare Halten von mindestens 25 Prozent der Anteile am Kapital oder Stimmrechte des anderen Unternehmens;</w:t>
      </w:r>
    </w:p>
    <w:p>
      <w:pPr>
        <w:ind w:left="420"/>
      </w:pPr>
      <w:r>
        <w:t xml:space="preserve">4. die Änderung der Rechtsform und der Firma;</w:t>
      </w:r>
    </w:p>
    <w:p>
      <w:pPr>
        <w:ind w:left="420"/>
      </w:pPr>
      <w:r>
        <w:t xml:space="preserve">5. bei externen OGAW-Kapitalverwaltungsgesellschaften und AIF-Kapitalverwaltungsgesellschaften, die Publikums-AIF verwalten, sowie bei extern verwalteten Investmentgesellschaften, die Publikums-AIF sind, jede Änderung ihrer Satzung oder ihres Gesellschaftsvertrages;</w:t>
      </w:r>
    </w:p>
    <w:p>
      <w:pPr>
        <w:ind w:left="420"/>
      </w:pPr>
      <w:r>
        <w:t xml:space="preserve">6. die Absenkung der Eigenmittel unter die in § 25 oder im Fall des § 5 Absatz 2 Satz 1 nach § 5 Absatz 2 Satz 2 oder 3 dieses Gesetzes in Verbindung mit § 17 Absatz 1 Nummer 2 oder 3 des Wertpapierinstitutsgesetzes vorgesehenen Schwellen;</w:t>
      </w:r>
    </w:p>
    <w:p>
      <w:pPr>
        <w:ind w:left="420"/>
      </w:pPr>
      <w:r>
        <w:t xml:space="preserve">7. die Verlegung der Niederlassung oder des Sitzes, die Errichtung, Verlegung oder Schließung einer Zweigstelle in einem Drittstaat sowie die Aufnahme oder Beendigung der Erbringung grenzüberschreitender Dienstleistungen ohne Errichtung einer Zweigstelle;</w:t>
      </w:r>
    </w:p>
    <w:p>
      <w:pPr>
        <w:ind w:left="420"/>
      </w:pPr>
      <w:r>
        <w:t xml:space="preserve">8. die Einstellung des Geschäftsbetriebes;</w:t>
      </w:r>
    </w:p>
    <w:p>
      <w:pPr>
        <w:ind w:left="420"/>
      </w:pPr>
      <w:r>
        <w:t xml:space="preserve">9. die Absicht ihrer Geschäftsleiter, eine Entscheidung über die Auflösung der Kapitalverwaltungsgesellschaft herbeizuführen;</w:t>
      </w:r>
    </w:p>
    <w:p>
      <w:pPr>
        <w:ind w:left="420"/>
      </w:pPr>
      <w:r>
        <w:t xml:space="preserve">10. den Erwerb oder die Aufgabe einer bedeutenden Beteiligung an der eigenen Gesellschaft, das Erreichen, das Über- und Unterschreiten der Beteiligungsschwellen von 20 Prozent, 30 Prozent und 50 Prozent der Stimmrechte oder des Kapitals sowie die Tatsache, dass die Kapitalverwaltungsgesellschaft Tochterunternehmen eines anderen Unternehmens wird oder nicht mehr ist, soweit die Kapitalverwaltungsgesellschaft von der bevorstehenden Änderung dieser Beteiligungsverhältnisse Kenntnis erlangt;</w:t>
      </w:r>
    </w:p>
    <w:p>
      <w:pPr>
        <w:ind w:left="420"/>
      </w:pPr>
      <w:r>
        <w:t xml:space="preserve">11. die Absicht der Vereinigung mit einer anderen Kapitalverwaltungsgesellschaft.</w:t>
      </w:r>
    </w:p>
    <w:p>
      <w:r>
        <w:t xml:space="preserve">(4) Die Kapitalverwaltungsgesellschaft hat der Bundesanstalt jährlich anzuzeigen:</w:t>
      </w:r>
    </w:p>
    <w:p>
      <w:pPr>
        <w:ind w:left="420"/>
      </w:pPr>
      <w:r>
        <w:t xml:space="preserve">1. den Namen und die Anschrift der an ihr bedeutend beteiligten Inhaber sowie die Höhe ihrer Beteiligung,</w:t>
      </w:r>
    </w:p>
    <w:p>
      <w:pPr>
        <w:ind w:left="420"/>
      </w:pPr>
      <w:r>
        <w:t xml:space="preserve">2. die Errichtung, Verlegung oder Schließung einer inländischen Zweigstelle und</w:t>
      </w:r>
    </w:p>
    <w:p>
      <w:pPr>
        <w:ind w:left="420"/>
      </w:pPr>
      <w:r>
        <w:t xml:space="preserve">3. die Begründung, Änderung oder die Beendigung einer engen Verbindung.</w:t>
      </w:r>
    </w:p>
    <w:p>
      <w:r>
        <w:t xml:space="preserve">(5) Die Geschäftsleiter und Aufsichtsorganmitglieder der Kapitalverwaltungsgesellschaft haben der Bundesanstalt unverzüglich anzuzeigen:</w:t>
      </w:r>
    </w:p>
    <w:p>
      <w:pPr>
        <w:ind w:left="420"/>
      </w:pPr>
      <w:r>
        <w:t xml:space="preserve">1. die Aufnahme und die Beendigung ihrer Tätigkeit als Geschäftsleiter oder als Aufsichtsorgan- oder Verwaltungsratsmitglied eines anderen Unternehmens,</w:t>
      </w:r>
    </w:p>
    <w:p>
      <w:pPr>
        <w:ind w:left="420"/>
      </w:pPr>
      <w:r>
        <w:t xml:space="preserve">2. die Einleitung eines Ermittlungsverfahrens gegen sich als Geschäftsleiter oder als Aufsichtsorganmitglied, sobald der Geschäftsleiter oder das Aufsichtsorganmitglied von der Einleitung des Ermittlungsverfahrens gegen sich als Beschuldigten Kenntnis erlangt hat, und</w:t>
      </w:r>
    </w:p>
    <w:p>
      <w:pPr>
        <w:ind w:left="420"/>
      </w:pPr>
      <w:r>
        <w:t xml:space="preserve">3. die Übernahme und die Aufgabe einer unmittelbaren Beteiligung an einem Unternehmen sowie Veränderungen in der Höhe der Beteiligung.</w:t>
      </w:r>
    </w:p>
    <w:p>
      <w:r>
        <w:t xml:space="preserve">Als unmittelbare Beteiligung im Sinne des Satzes 1 Nummer 3 gilt das Halten von mindestens 25 Prozent der Anteile am Kapital des Unternehmens.</w:t>
      </w:r>
    </w:p>
    <w:p>
      <w:r>
        <w:t xml:space="preserve">(6) Für AIF-Kapitalverwaltungsgesellschaften, die für Rechnung eines AIF Gelddarlehen gewähren oder unverbriefte Darlehensforderungen erwerben, gilt § 14 des Kreditwesengesetzes entsprechend.</w:t>
      </w:r>
    </w:p>
    <w:p>
      <w:r>
        <w:rPr>
          <w:color w:val="555555"/>
          <w:sz w:val="17"/>
        </w:rPr>
        <w:t xml:space="preserve">Zitiervorschlag: § 34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