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339 KAGB — Strafvorschriften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fünf Jahren oder mit Geldstrafe wird bestraft, wer</w:t>
      </w:r>
    </w:p>
    <w:p>
      <w:pPr>
        <w:ind w:left="420"/>
      </w:pPr>
      <w:r>
        <w:t xml:space="preserve">1. ohne Erlaubnis nach § 20 Absatz 1 Satz 1 das Geschäft einer Kapitalverwaltungsgesellschaft betreibt oder</w:t>
      </w:r>
    </w:p>
    <w:p>
      <w:pPr>
        <w:ind w:left="420"/>
      </w:pPr>
      <w:r>
        <w:t xml:space="preserve">2. ohne Registrierung nach § 44 Absatz 1 Nummer 1 das Geschäft einer dort genannten AIF-Kapitalverwaltungsgesellschaft betreibt.</w:t>
      </w:r>
    </w:p>
    <w:p>
      <w:r>
        <w:t xml:space="preserve">(2) Mit Freiheitsstrafe bis zu drei Jahren oder mit Geldstrafe wird bestraft, wer entgegen § 43 Absatz 1 in Verbindung mit § 46b Absatz 1 Satz 1 des Kreditwesengesetzes eine Anzeige nicht, nicht richtig, nicht vollständig oder nicht rechtzeitig erstattet.</w:t>
      </w:r>
    </w:p>
    <w:p>
      <w:r>
        <w:t xml:space="preserve">(3) Handelt der Täter in den Fällen des Absatzes 1 fahrlässig, so ist die Strafe Freiheitsstrafe bis zu drei Jahren oder Geldstrafe. Handelt der Täter in den Fällen des Absatzes 2 fahrlässig, so ist die Strafe Freiheitsstrafe bis zu einem Jahr oder Geldstrafe.</w:t>
      </w:r>
    </w:p>
    <w:p>
      <w:r>
        <w:rPr>
          <w:color w:val="555555"/>
          <w:sz w:val="17"/>
        </w:rPr>
        <w:t xml:space="preserve">Zitiervorschlag: § 339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https://recht.nulegal.eu/gesetze/KAGB/339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339 KAGB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