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338a KAGB — Europäische langfristige Investmentfonds</w:t>
      </w:r>
    </w:p>
    <w:p>
      <w:r>
        <w:rPr>
          <w:color w:val="555555"/>
          <w:sz w:val="18"/>
        </w:rPr>
        <w:t xml:space="preserve">Kapitalanlagegesetzbuch</w:t>
      </w:r>
    </w:p>
    <w:p>
      <w:r>
        <w:rPr>
          <w:color w:val="555555"/>
          <w:sz w:val="18"/>
        </w:rPr>
        <w:t xml:space="preserve">Stand: 10.09.2021 (konsolidierte Textfassung, kein amtliches Inkrafttretensdatum)</w:t>
      </w:r>
    </w:p>
    <w:p>
      <w:r>
        <w:t xml:space="preserve">Für AIF-Kapitalverwaltungsgesellschaften, die europäische langfristige Investmentfonds im Sinne der Verordnung (EU) 2015/760 verwalten, gelten neben den Vorschriften dieser Verordnung (EU) 2015/760 die Vorschriften dieses Gesetzes, soweit die Verordnung (EU) 2015/760 dem nicht entgegensteht.</w:t>
      </w:r>
    </w:p>
    <w:p>
      <w:r>
        <w:rPr>
          <w:color w:val="555555"/>
          <w:sz w:val="17"/>
        </w:rPr>
        <w:t xml:space="preserve">Zitiervorschlag: § 338a KAGB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https://recht.nulegal.eu/gesetze/KAGB/338a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