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337 KAGB — Europäische Risikokapitalfonds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Für AIF-Kapitalverwaltungsgesellschaften, die die Voraussetzungen nach § 2 Absatz 6 erfüllen, gelten</w:t>
      </w:r>
    </w:p>
    <w:p>
      <w:pPr>
        <w:ind w:left="420"/>
      </w:pPr>
      <w:r>
        <w:t xml:space="preserve">1. die §§ 1, 2, 5 Absatz 1 und die §§ 6, 7, 7b, 13, 14, 44 Absatz 1 Nummer 1, 2, 5 bis 7, Absatz 2 und 4 bis 9 entsprechend sowie</w:t>
      </w:r>
    </w:p>
    <w:p>
      <w:pPr>
        <w:ind w:left="420"/>
      </w:pPr>
      <w:r>
        <w:t xml:space="preserve">2. die Vorschriften der Verordnung (EU) Nr. 345/2013.</w:t>
      </w:r>
    </w:p>
    <w:p>
      <w:r>
        <w:t xml:space="preserve">(2) AIF-Kapitalverwaltungsgesellschaften, die die Voraussetzungen des Artikels 2 Absatz 2 der Verordnung (EU) Nr. 345/2013 erfüllen und die Bezeichnung „EuVECA“ weiter führen, haben neben den Vorschriften dieses Gesetzes die in Artikel 2 Absatz 2 Buchstabe b der Verordnung (EU) Nr. 345/2013 genannten Artikel der Verordnung (EU) Nr. 345/2013 zu erfüllen.</w:t>
      </w:r>
    </w:p>
    <w:p>
      <w:r>
        <w:rPr>
          <w:color w:val="555555"/>
          <w:sz w:val="17"/>
        </w:rPr>
        <w:t xml:space="preserve">Zitiervorschlag: § 337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