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336 KAGB — Verweise und Ersuchen nach Artikel 19 der Verordnung (EU) Nr. 1095/2010</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näheren Bestimmungen zu den in § 322 Absatz 1 Nummer 1, § 324 Absatz 1 Satz 1, § 326 Absatz 1, § 328 Absatz 1 Satz 1, § 330 Absatz 1 Satz 1 Nummer 3, § 332 Absatz 1 Satz 1 und § 334 Absatz 1 Satz 1 genannten Vereinbarungen über die Zusammenarbeit richten sich nach den Artikeln 113 bis 115 der Delegierten Verordnung (EU) Nr. 231/2013.</w:t>
      </w:r>
    </w:p>
    <w:p>
      <w:r>
        <w:t xml:space="preserve">(2) Lehnt eine zuständige Stelle einen Antrag auf Informationsaustausch im Sinne der §§ 324, 328, 332 und 334 zwischen den zuständigen Stellen des Herkunftsmitgliedstaates oder des Referenzmitgliedstaates und den zuständigen Stellen der Aufnahmemitgliedstaaten der AIF-Kapitalverwaltungsgesellschaft, der EU-AIF-Verwaltungsgesellschaft oder der ausländischen AIF-Verwaltungsgesellschaft ab, so können die Bundesanstalt und die zuständigen Stellen des Herkunftsmitgliedstaates oder des Referenzmitgliedstaates und des Aufnahmemitgliedstaates der AIF-Verwaltungsgesellschaft die Europäische Wertpapier- und Marktaufsichtsbehörde nach Maßgabe des Artikels 19 der Verordnung (EU) Nr. 1095/2010 um Hilfe ersuchen.</w:t>
      </w:r>
    </w:p>
    <w:p>
      <w:r>
        <w:t xml:space="preserve">(3) Schließt eine für einen EU-AIF zuständige Stelle die gemäß § 330 Absatz 1 Satz 1 Nummer 3 Buchstabe a geforderte Vereinbarung über Zusammenarbeit nicht innerhalb eines angemessenen Zeitraums ab, kann die Bundesanstalt die Europäische Wertpapier- und Marktaufsichtsbehörde nach Maßgabe des Artikels 19 der Verordnung (EU) Nr. 1095/2010 um Hilfe ersuchen.</w:t>
      </w:r>
    </w:p>
    <w:p>
      <w:r>
        <w:rPr>
          <w:color w:val="555555"/>
          <w:sz w:val="17"/>
        </w:rPr>
        <w:t xml:space="preserve">Zitiervorschlag: § 336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