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335 KAGB — Bescheinigung der Bundesanstalt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der Anzeigen nach den §§ 331 bis 334 stellt die Bundesanstalt auf Antrag der AIF-Kapitalverwaltungsgesellschaft eine Bescheinigung darüber aus, dass die Vorschriften der Richtlinie 2011/61/EU erfüllt sind.</w:t>
      </w:r>
    </w:p>
    <w:p>
      <w:r>
        <w:t xml:space="preserve">(2) Die Bundesanstalt stellt auf Antrag der AIF-Kapitalverwaltungsgesellschaft, die gemäß § 44 registriert ist, eine Bescheinigung über die Registrierung aus.</w:t>
      </w:r>
    </w:p>
    <w:p>
      <w:r>
        <w:rPr>
          <w:color w:val="555555"/>
          <w:sz w:val="17"/>
        </w:rPr>
        <w:t xml:space="preserve">Zitiervorschlag: § 335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