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333 KAGB — Anzeigepflicht einer ausländischen AIF-Verwaltungsgesellschaft, deren Referenzmitgliedstaat die Bundesrepublik Deutschland ist, beim Vertrieb von EU-AIF oder von inländischen AIF an professionelle Anleger in anderen Mitgliedstaaten der Europäischen Union oder in anderen Vertragsstaaten des Abkommens über den Europäischen Wirtschaftsraum</w:t>
      </w:r>
    </w:p>
    <w:p>
      <w:r>
        <w:rPr>
          <w:color w:val="555555"/>
          <w:sz w:val="18"/>
        </w:rPr>
        <w:t xml:space="preserve">Kapitalanlagegesetzbuch</w:t>
      </w:r>
    </w:p>
    <w:p>
      <w:r>
        <w:rPr>
          <w:color w:val="555555"/>
          <w:sz w:val="18"/>
        </w:rPr>
        <w:t xml:space="preserve">Stand: 24.02.2022 (konsolidierte Textfassung, kein amtliches Inkrafttretensdatum)</w:t>
      </w:r>
    </w:p>
    <w:p>
      <w:r>
        <w:t xml:space="preserve">(1) Beabsichtigt eine ausländische AIF-Verwaltungsgesellschaft, deren Referenzmitgliedstaat gemäß § 56 die Bundesrepublik Deutschland ist und die von der Bundesanstalt eine Erlaubnis nach § 58 erhalten hat, Anteile oder Aktien an einem von ihr verwalteten EU-AIF oder inländischen AIF in anderen Mitgliedstaaten der Europäischen Union oder in anderen Vertragsstaaten des Abkommens über den Europäischen Wirtschaftsraum an professionelle Anleger zu vertreiben, so hat sie dies der Bundesanstalt in einer in internationalen Finanzkreisen gebräuchlichen Sprache anzuzeigen. Das Anzeigeschreiben muss die in § 331 Absatz 1 Satz 2 geforderten Angaben und Unterlagen in jeweils geltender Fassung enthalten, wobei es statt „AIF-Kapitalverwaltungsgesellschaft“ „ausländische AIF-Verwaltungsgesellschaft“ heißen muss.</w:t>
      </w:r>
    </w:p>
    <w:p>
      <w:r>
        <w:t xml:space="preserve">(2) § 331 Absatz 2 bis 9 ist mit den Maßgaben entsprechend anzuwenden, dass</w:t>
      </w:r>
    </w:p>
    <w:p>
      <w:pPr>
        <w:ind w:left="420"/>
      </w:pPr>
      <w:r>
        <w:t xml:space="preserve">1. es statt „AIF-Kapitalverwaltungsgesellschaft“ „ausländische AIF-Verwaltungsgesellschaft“ heißen muss,</w:t>
      </w:r>
    </w:p>
    <w:p>
      <w:pPr>
        <w:ind w:left="420"/>
      </w:pPr>
      <w:r>
        <w:t xml:space="preserve">2. die Bundesanstalt im Rahmen von § 331 Absatz 5 zusätzlich der Europäischen Wertpapier- und Marktaufsichtsbehörde mitteilt, dass die ausländische AIF-Verwaltungsgesellschaft mit dem Vertrieb von Anteilen oder Aktien des angezeigten AIF an professionelle Anleger im Aufnahmemitgliedstaat der ausländischen AIF-Verwaltungsgesellschaft beginnen kann, und</w:t>
      </w:r>
    </w:p>
    <w:p>
      <w:pPr>
        <w:ind w:left="420"/>
      </w:pPr>
      <w:r>
        <w:t xml:space="preserve">3. die Bundesanstalt bei einer zulässigen Änderung nach § 331 Absatz 9 zusätzlich unverzüglich die Europäische Wertpapier- und Marktaufsichtsbehörde zu benachrichtigen hat, soweit die Änderungen die Beendigung des Vertriebs von bestimmten AIF oder zusätzlich vertriebenen AIF betreffen.</w:t>
      </w:r>
    </w:p>
    <w:p>
      <w:r>
        <w:rPr>
          <w:color w:val="555555"/>
          <w:sz w:val="17"/>
        </w:rPr>
        <w:t xml:space="preserve">Zitiervorschlag: § 333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