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331 KAGB — Anzeigepflicht einer AIF-Kapitalverwaltungsgesellschaft beim Vertrieb von EU-AIF oder inländischen AIF an professionelle Anleger in anderen Mitgliedstaaten der Europäischen Union oder in anderen Vertragsstaaten des Abkommens über den Europäischen Wirtschaftsraum</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AIF-Kapitalverwaltungsgesellschaft, Anteile oder Aktien an einem von ihr verwalteten EU-AIF oder an einem von ihr verwalteten inländischen AIF in anderen Mitgliedstaaten der Europäischen Union oder in anderen Vertragsstaaten des Abkommens über den Europäischen Wirtschaftsraum an professionelle Anleger zu vertreiben, so hat sie dies der Bundesanstalt in einer in internationalen Finanzkreisen gebräuchlichen Sprache anzuzeigen. Das Anzeigeschreiben muss die Angaben und Unterlagen nach Anhang II der Durchführungsverordnung (EU) 2024/913 in seiner jeweils geltenden Fassung enthalten. Ist der AIF im Sinne von Satz 1 ein Feeder-AIF, so ist eine Anzeige nach Satz 1 nur zulässig, wenn der Master-AIF ebenfalls ein EU-AIF oder ein inländischer AIF ist, der von einer EU-AIF-Verwaltungsgesellschaft oder einer AIF-Kapitalverwaltungsgesellschaft verwaltet wird. Ist dies nicht der Fall, so richtet sich das Anzeigeverfahren ab dem Zeitpunkt, auf den in § 295 Absatz 2 Nummer 1 verwiesen wird, nach § 332.</w:t>
      </w:r>
    </w:p>
    <w:p>
      <w:r>
        <w:t xml:space="preserve">(2) (weggefallen)</w:t>
      </w:r>
    </w:p>
    <w:p>
      <w:r>
        <w:t xml:space="preserve">(3) § 321 Absatz 2 ist entsprechend anzuwenden mit der Maßgabe, dass nach Ablauf der in § 321 Absatz 2 Satz 4 genannten Frist eine Übermittlung der Anzeige nach Absatz 4 ausgeschlossen ist.</w:t>
      </w:r>
    </w:p>
    <w:p>
      <w:r>
        <w:t xml:space="preserve">(4) Liegen keine Anhaltspunkte dafür vor, dass die AIF-Kapitalverwaltungsgesellschaft oder die Verwaltung des angezeigten AIF durch die AIF-Kapitalverwaltungsgesellschaft den Vorschriften dieses Gesetzes oder der Richtlinie 2011/61/EU nicht entspricht oder künftig nicht entsprechen wird, übermittelt die Bundesanstalt spätestens 20 Arbeitstage nach dem Eingang der vollständigen Anzeigeunterlagen nach Absatz 1 die vollständigen Anzeigeunterlagen an die zuständigen Stellen der anderen Mitgliedstaaten der Europäischen Union oder der anderen Vertragsstaaten des Abkommens über den Europäischen Wirtschaftsraum, in denen der angezeigte AIF an professionelle Anleger vertrieben werden soll. Die Bundesanstalt fügt eine in einer in internationalen Finanzkreisen gebräuchlichen Sprache erstellte Bescheinigung nach Anhang IV der Durchführungsverordnung (EU) 2024/913 in seiner jeweils geltenden Fassung bei. Die Vorkehrungen nach § 321 Absatz 1 Satz 2 Nummer 7 und § 331 Absatz 1 Satz 3 sind von der Bundesanstalt nicht zu überprüfen.</w:t>
      </w:r>
    </w:p>
    <w:p>
      <w:r>
        <w:t xml:space="preserve">(5) Die Bundesanstalt unterrichtet die AIF-Kapitalverwaltungsgesellschaft unverzüglich über den Versand der Anzeigeunterlagen. Die AIF-Kapitalverwaltungsgesellschaft kann ab dem Datum dieser Mitteilung mit dem Vertrieb des angezeigten AIF an professionelle Anleger in dem betreffenden Mitgliedstaat der Europäischen Union oder im Vertragsstaat des Abkommens über den Europäischen Wirtschaftsraum beginnen. Falls es sich bei dem angezeigten AIF um einen EU-AIF handelt, für den eine andere Stelle als die Stelle des Mitgliedstaates der Europäischen Union oder des Vertragsstaates des Abkommens über den Europäischen Wirtschaftsraum, in dem der angezeigte AIF an professionelle Anleger vertrieben werden soll, zuständig ist, teilt die Bundesanstalt zudem der für den EU-AIF zuständigen Stelle mit, dass die AIF-Kapitalverwaltungsgesellschaft mit dem Vertrieb von Anteilen oder Aktien des EU-AIF an professionelle Anleger im Aufnahmestaat der AIF-Kapitalverwaltungsgesellschaft beginnen kann.</w:t>
      </w:r>
    </w:p>
    <w:p>
      <w:r>
        <w:t xml:space="preserve">(6) Können die Anzeigeunterlagen nicht nach Absatz 4 Satz 1 an die zuständigen Stellen der anderen Mitgliedstaaten der Europäischen Union oder Vertragsstaaten des Abkommens über den Europäischen Wirtschaftsraum übermittelt werden, teilt die Bundesanstalt dies der AIF-Kapitalverwaltungsgesellschaft unter Angabe der Gründe innerhalb der Frist von Absatz 4 Satz 1 mit. Hierdurch wird die in Satz 1 genannte Frist unterbrochen und beginnt mit der Einreichung der geänderten Angaben und Unterlagen erneut.</w:t>
      </w:r>
    </w:p>
    <w:p>
      <w:r>
        <w:t xml:space="preserve">(7) Die AIF-Kapitalverwaltungsgesellschaft teilt der Bundesanstalt wesentliche Änderungen der nach Absatz 1 oder 2 übermittelten Angaben in Textform mit. Änderungen, die von der AIF-Kapitalverwaltungsgesellschaft geplant sind, sind mindestens einen Monat vor Durchführung der Änderung mitzuteilen. Ungeplante Änderungen sind unverzüglich nach ihrem Eintreten mitzuteilen. Führt die geplante Änderung dazu, dass die AIF-Kapitalverwaltungsgesellschaft oder die Verwaltung des betreffenden AIF durch die AIF-Kapitalverwaltungsgesellschaft nunmehr gegen die Vorschriften dieses Gesetzes oder aufgrund dieses Gesetzes erlassener Bestimmungen verstößt, so teilt die Bundesanstalt der AIF-Kapitalverwaltungsgesellschaft innerhalb von 15 Arbeitstagen nach Eingang sämtlicher in Satz 1 genannten Informationen mit, dass sie die Änderung nicht durchführen darf. In diesem Fall setzt die Bundesanstalt unverzüglich die zuständigen Behörden des Aufnahmestaates der AIF-Kapitalverwaltungsgesellschaft entsprechend in Kenntnis.</w:t>
      </w:r>
    </w:p>
    <w:p>
      <w:r>
        <w:t xml:space="preserve">(8) Nimmt eine AIF-Kapitalverwaltungsgesellschaft ungeachtet von Absatz 7 Satz 4 eine geplante Änderung vor oder führt eine durch einen unvorhersehbaren Umstand ausgelöste Änderung dazu, dass die AIF-Kapitalverwaltungsgesellschaft oder die Verwaltung des betreffenden AIF durch die AIF-Kapitalverwaltungsgesellschaft nunmehr gegen die Vorschriften dieses Gesetzes verstoßen würde, so trifft die Bundesanstalt geeignete Maßnahmen einschließlich der Untersagung des Vertriebs des betreffenden AIF und setzt unverzüglich die zuständigen Behörden des Aufnahmestaates der AIF-Kapitalverwaltungsgesellschaft entsprechend in Kenntnis.</w:t>
      </w:r>
    </w:p>
    <w:p>
      <w:r>
        <w:t xml:space="preserve">(9) Bei zulässigen Änderungen unterrichtet die Bundesanstalt innerhalb eines Monats die zuständigen Behörden des Aufnahmestaates der AIF-Kapitalverwaltungsgesellschaft von diesen Änderungen.</w:t>
      </w:r>
    </w:p>
    <w:p>
      <w:r>
        <w:rPr>
          <w:color w:val="555555"/>
          <w:sz w:val="17"/>
        </w:rPr>
        <w:t xml:space="preserve">Zitiervorschlag: § 331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