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330a KAGB — Anzeigepflicht von EU-AIF-Verwaltungsgesellschaften, die die Bedingungen nach Artikel 3 Absatz 2 der Richtlinie 2011/61/EU erfüllen, beim beabsichtigten Vertrieb von AIF an professionelle und semiprofessionelle Anleger im Inland</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Der Vertrieb von Anteilen oder Aktien an AIF, die von einer EU-AIF-Verwaltungsgesellschaft verwaltet werden, die die Bedingungen nach Artikel 3 Absatz 2 der Richtlinie 2011/61/EU erfüllt, an semiprofessionelle oder professionelle Anleger im Geltungsbereich dieses Gesetzes ist zulässig, wenn</w:t>
      </w:r>
    </w:p>
    <w:p>
      <w:pPr>
        <w:ind w:left="420"/>
      </w:pPr>
      <w:r>
        <w:t xml:space="preserve">1. die EU-AIF-Verwaltungsgesellschaft in ihrem Herkunftsmitgliedstaat gemäß den im Herkunftsmitgliedstaat anzuwendenden Vorschriften, die Artikel 3 der Richtlinie 2011/61/EU umsetzen, registriert ist und</w:t>
      </w:r>
    </w:p>
    <w:p>
      <w:pPr>
        <w:ind w:left="420"/>
      </w:pPr>
      <w:r>
        <w:t xml:space="preserve">2. der Herkunftsmitgliedstaat der EU-AIF-Verwaltungsgesellschaft einen Vertrieb von AIF, die von einer AIF-Kapitalverwaltungsgesellschaft verwaltet werden, die die Bedingungen nach § 2 Absatz 4 erfüllt und gemäß § 44 Absatz 1 Nummer 1 registriert ist, ebenfalls gestattet und den Vertrieb dieser AIF nicht an höhere Voraussetzungen knüpft als dieses Gesetz.</w:t>
      </w:r>
    </w:p>
    <w:p>
      <w:r>
        <w:t xml:space="preserve">(2) Beabsichtigt eine EU-AIF-Verwaltungsgesellschaft, die die Bedingungen nach Artikel 3 Absatz 2 der Richtlinie 2011/61/EU erfüllt, Anteile oder Aktien an von ihr verwalteten AIF im Geltungsbereich dieses Gesetzes an semiprofessionelle oder professionelle Anleger zu vertreiben, so hat sie dies der Bundesanstalt anzuzeigen. Der Anzeige sind folgende Angaben und Dokumente beizufügen:</w:t>
      </w:r>
    </w:p>
    <w:p>
      <w:pPr>
        <w:ind w:left="420"/>
      </w:pPr>
      <w:r>
        <w:t xml:space="preserve">1. eine Bescheinigung der zuständigen Stelle ihres Herkunftsmitgliedstaates in einer in der internationalen Finanzwelt gebräuchlichen Sprache, dass die EU-AIF-Verwaltungsgesellschaft in ihrem Herkunftsmitgliedstaat gemäß den im Herkunftsmitgliedstaat anzuwendenden Vorschriften, die Artikel 3 der Richtlinie 2011/61/EU umsetzen, registriert ist,</w:t>
      </w:r>
    </w:p>
    <w:p>
      <w:pPr>
        <w:ind w:left="420"/>
      </w:pPr>
      <w:r>
        <w:t xml:space="preserve">2. eine Erklärung der EU-AIF-Verwaltungsgesellschaft darüber, dass sie sich verpflichtet, die Bundesanstalt über alle wesentlichen Änderungen ihre Registrierung betreffend zu unterrichten und die Änderungsangaben nachzuweisen,</w:t>
      </w:r>
    </w:p>
    <w:p>
      <w:pPr>
        <w:ind w:left="420"/>
      </w:pPr>
      <w:r>
        <w:t xml:space="preserve">3. der Bundesanstalt auf Verlangen über ihre Geschäftstätigkeit Auskunft zu erteilen und Unterlagen vorzulegen,</w:t>
      </w:r>
    </w:p>
    <w:p>
      <w:pPr>
        <w:ind w:left="420"/>
      </w:pPr>
      <w:r>
        <w:t xml:space="preserve">4. ein Nachweis über die Zahlung der Gebühr für die Anzeige.</w:t>
      </w:r>
    </w:p>
    <w:p>
      <w:r>
        <w:t xml:space="preserve">Fremdsprachige Unterlagen sind in deutscher Übersetzung oder in englischer Sprache vorzulegen.</w:t>
      </w:r>
    </w:p>
    <w:p>
      <w:r>
        <w:t xml:space="preserve">(3) Der Vertrieb kann aufgenommen werden, wenn die Zulässigkeitsvoraussetzungen nach Absatz 1 gegeben sind und eine vollständige Anzeige nach Absatz 2 bei der Bundesanstalt eingegangen ist. Auf Antrag der EU-AIF-Verwaltungsgesellschaft hat die Bundesanstalt das Vorliegen der Zulässigkeitsvoraussetzungen nach Absatz 1 und den Eingang der vollständigen Anzeige nach Absatz 2 zu bestätigen.</w:t>
      </w:r>
    </w:p>
    <w:p>
      <w:r>
        <w:t xml:space="preserve">(4) § 295 Absatz 5 findet keine Anwendung für den Vertrieb und den Erwerb von AIF, die von einer EU-AIF-Verwaltungsgesellschaft verwaltet werden, die die Bedingungen nach Artikel 3 Absatz 2 der Richtlinie 2011/61/EU erfüllt, und die im Inland gemäß § 330a vertrieben werden dürfen.</w:t>
      </w:r>
    </w:p>
    <w:p>
      <w:r>
        <w:rPr>
          <w:color w:val="555555"/>
          <w:sz w:val="17"/>
        </w:rPr>
        <w:t xml:space="preserve">Zitiervorschlag: § 330a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https://recht.nulegal.eu/gesetze/KAGB/330a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