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329 KAGB — Anzeigepflicht einer EU-AIF-Verwaltungsgesellschaft oder einer AIF-Kapitalverwaltungsgesellschaft beim beabsichtigten Vertrieb von von ihr verwalteten inländischen Spezial-Feeder-AIF oder EU-Feeder-AIF, deren jeweiliger Master- AIF kein EU-AIF oder inländischer AIF ist, der von einer EU-AIF-Verwaltungsgesellschaft oder einer AIF-Kapitalverwaltungsgesellschaft verwaltet wird, oder ausländischen AIF an semiprofessionelle und professionelle Anleger im Inland</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Vertrieb von Anteilen oder Aktien an von einer EU-AIF-Verwaltungsgesellschaft oder einer AIF-Kapitalverwaltungsgesellschaft verwalteten inländischen Spezial-Feeder-AIF oder EU-Feeder-AIF, deren jeweiliger Master-AIF kein EU-AIF oder inländischer AIF ist, der von einer EU-AIF-Verwaltungsgesellschaft oder einer AIF-Kapitalverwaltungsgesellschaft verwaltet wird, oder ausländischen AIF an semiprofessionelle oder professionelle Anleger im Geltungsbereich dieses Gesetzes ist zulässig, wenn</w:t>
      </w:r>
    </w:p>
    <w:p>
      <w:pPr>
        <w:ind w:left="420"/>
      </w:pPr>
      <w:r>
        <w:t xml:space="preserve">1. bei einem Vertrieb an professionelle Anleger</w:t>
      </w:r>
    </w:p>
    <w:p>
      <w:pPr>
        <w:ind w:left="780"/>
      </w:pPr>
      <w:r>
        <w:t xml:space="preserve">a) die AIF-Kapitalverwaltungsgesellschaft und die Verwaltung des AIF durch die AIF-Kapitalverwaltungsgesellschaft die Anforderungen dieses Gesetzes mit Ausnahme der §§ 80 bis 90 und die EU-AIF-Verwaltungsgesellschaft und die Verwaltung des AIF durch diese die Anforderungen der von ihrem Herkunftsmitgliedstaat zur Umsetzung der Richtlinie 2011/61/EU erlassenen Vorschriften mit Ausnahme der in Artikel 21 der Richtlinie 2011/61/EU genannten Voraussetzungen erfüllt und</w:t>
      </w:r>
    </w:p>
    <w:p>
      <w:pPr>
        <w:ind w:left="780"/>
      </w:pPr>
      <w:r>
        <w:t xml:space="preserve">b) die AIF-Kapitalverwaltungsgesellschaft oder die EU-AIF-Verwaltungsgesellschaft eine oder mehrere Stellen benannt hat, die sie nicht selbst ist und die die Aufgaben nach Artikel 21 Absatz 7, 8 und 9 der Richtlinie 2011/61/EU wahrnehmen, und sie diese Stelle oder Stellen der Bundesanstalt oder der in ihrem Herkunftsmitgliedstaat zuständigen Stelle angezeigt hat;</w:t>
      </w:r>
    </w:p>
    <w:p>
      <w:pPr>
        <w:ind w:left="420"/>
      </w:pPr>
      <w:r>
        <w:t xml:space="preserve">2. bei einem Vertrieb an semiprofessionelle Anleger die AIF-Kapitalverwaltungsgesellschaft oder die EU-AIF-Verwaltungsgesellschaft und die Verwaltung des AIF durch diese den Anforderungen dieses Gesetzes oder den von ihrem Herkunftsmitgliedstaat zur Umsetzung der Richtlinie 2011/61/EU erlassenen Vorschriften entsprechen;</w:t>
      </w:r>
    </w:p>
    <w:p>
      <w:pPr>
        <w:ind w:left="420"/>
      </w:pPr>
      <w:r>
        <w:t xml:space="preserve">3. bei einem Vertrieb an semiprofessionelle Anleger oder professionelle Anleger</w:t>
      </w:r>
    </w:p>
    <w:p>
      <w:pPr>
        <w:ind w:left="780"/>
      </w:pPr>
      <w:r>
        <w:t xml:space="preserve">a) bei einem ausländischen AIF geeignete, der Überwachung der Systemrisiken dienende und im Einklang mit den internationalen Standards und den Artikeln 113 bis 115 der Delegierten Verordnung (EU) Nr. 213/2013 stehende Vereinbarungen über die Zusammenarbeit zwischen der Bundesanstalt oder den zuständigen Stellen im Herkunftsmitgliedstaat der EU-AIF-Verwaltungsgesellschaft und den zuständigen Stellen des Drittstaates, in dem der ausländische AIF seinen Sitz hat, bestehen, sodass ein effizienter Informationsaustausch gewährleistet ist, der es der Bundesanstalt oder den zuständigen Stellen im Herkunftsmitgliedstaat der EU-AIF-Verwaltungsgesellschaft ermöglicht, ihre in der Richtlinie 2011/61/EU festgelegten Aufgaben zu erfüllen;</w:t>
      </w:r>
    </w:p>
    <w:p>
      <w:pPr>
        <w:ind w:left="780"/>
      </w:pPr>
      <w:r>
        <w:t xml:space="preserve">b) der Drittstaat, in dem der ausländische AIF seinen Sitz hat, nicht als Drittstaat mit hohem Risiko nach Artikel 9 Absatz 2 der Richtlinie (EU) 2015/849 eingestuft ist;</w:t>
      </w:r>
    </w:p>
    <w:p>
      <w:pPr>
        <w:ind w:left="780"/>
      </w:pPr>
      <w:r>
        <w:t xml:space="preserve">c) der Drittstaat, in dem der ausländische AIF seinen Sitz hat, mit der Bundesrepublik Deutschland eine Vereinbarung unterzeichnet hat, die den Normen des Artikels 26 des OECD-Musterabkommens zur Vermeidung der Doppelbesteuerung von Einkommen und Vermögen vollständig entspricht und einen wirksamen Informationsaustausch in Steuerangelegenheiten, gegebenenfalls einschließlich multilateraler Abkommen über die Besteuerung, gewährleistet, und dieser Drittstaat nicht in Anhang I der Schlussfolgerungen des Rates zur überarbeiteten EU-Liste nicht kooperativer Länder und Gebiete für Steuerzwecke aufgeführt ist;</w:t>
      </w:r>
    </w:p>
    <w:p>
      <w:pPr>
        <w:ind w:left="780"/>
      </w:pPr>
      <w:r>
        <w:t xml:space="preserve">d) die Vorkehrungen nach § 321 Absatz 1 Satz 2 Nummer 7 geeignet sind, einen Vertrieb an Privatanleger zu verhindern.</w:t>
      </w:r>
    </w:p>
    <w:p>
      <w:r>
        <w:t xml:space="preserve">Ist der angezeigte AIF ein Feeder-AIF, sind zusätzlich die Anforderungen des Absatzes 1 Satz 1 Nummer 1 oder 2 und 3 von dem Master-AIF und dessen Verwaltungsgesellschaft entsprechend einzuhalten.</w:t>
      </w:r>
    </w:p>
    <w:p>
      <w:r>
        <w:t xml:space="preserve">(2) Beabsichtigt eine EU-AIF-Verwaltungsgesellschaft oder eine AIF-Kapitalverwaltungsgesellschaft, Anteile oder Aktien an von ihr verwalteten AIF im Sinne von Absatz 1 Satz 1 im Geltungsbereich dieses Gesetzes an semiprofessionelle oder professionelle Anleger zu vertreiben, so hat sie dies der Bundesanstalt anzuzeigen. § 321 Absatz 1 Satz 2 gilt entsprechend. Darüber hinaus sind der Anzeige folgende Angaben und Dokumente beizufügen:</w:t>
      </w:r>
    </w:p>
    <w:p>
      <w:pPr>
        <w:ind w:left="420"/>
      </w:pPr>
      <w:r>
        <w:t xml:space="preserve">1. bei der Anzeige durch eine EU-AIF-Verwaltungsgesellschaft eine Bescheinigung der zuständigen Stelle ihres Herkunftsmitgliedstaates in einer in der internationalen Finanzwelt gebräuchlichen Sprache, dass die EU-AIF-Verwaltungsgesellschaft und die Verwaltung des AIF durch diese der Richtlinie 2011/61/EU entsprechen, dass die AIF-Verwaltungsgesellschaft über eine Erlaubnis zur Verwaltung von AIF mit einer bestimmten Anlagestrategie verfügt und gegebenenfalls, dass geeignete Vereinbarungen im Sinne von Absatz 1 Satz 1 Nummer 3 Buchstabe a über die Zusammenarbeit zwischen den zuständigen Stellen im Herkunftsmitgliedstaat der EU-AIF-Verwaltungsgesellschaft und den zuständigen Stellen des Drittstaates, in dem der ausländische AIF seinen Sitz hat, bestehen; ist nur ein Vertrieb an professionelle Anleger beabsichtigt, muss sich die Bescheinigung nicht auf die gesamten in Artikel 21 der Richtlinie 2011/61/EU genannten Anforderungen erstrecken, sondern nur auf die in Artikel 21 Absatz 7, 8 und 9 genannten Voraussetzungen;</w:t>
      </w:r>
    </w:p>
    <w:p>
      <w:pPr>
        <w:ind w:left="420"/>
      </w:pPr>
      <w:r>
        <w:t xml:space="preserve">2. eine Erklärung der EU-AIF-Verwaltungsgesellschaft darüber, dass sie sich verpflichtet,</w:t>
      </w:r>
    </w:p>
    <w:p>
      <w:pPr>
        <w:ind w:left="780"/>
      </w:pPr>
      <w:r>
        <w:t xml:space="preserve">a) der Bundesanstalt den Jahresbericht des AIF, der den Anforderungen des Artikels 22 und gegebenenfalls des Artikels 29 der Richtlinie 2011/61/EU entsprechen muss, spätestens sechs Monate nach Ende eines jeden Geschäftsjahres einzureichen; der Jahresbericht muss mit dem Bestätigungsvermerk eines Wirtschaftsprüfers versehen sein;</w:t>
      </w:r>
    </w:p>
    <w:p>
      <w:pPr>
        <w:ind w:left="780"/>
      </w:pPr>
      <w:r>
        <w:t xml:space="preserve">b) die Bundesanstalt über alle wesentlichen Änderungen von Umständen, die bei der Vertriebsanzeige angegeben worden sind oder die der Bescheinigung der zuständigen Stelle nach Nummer 1 zugrunde liegen, zu unterrichten und die Änderungsangaben nachzuweisen;</w:t>
      </w:r>
    </w:p>
    <w:p>
      <w:pPr>
        <w:ind w:left="780"/>
      </w:pPr>
      <w:r>
        <w:t xml:space="preserve">c) der Bundesanstalt auf Verlangen über ihre Geschäftstätigkeit Auskunft zu erteilen und Unterlagen vorzulegen;</w:t>
      </w:r>
    </w:p>
    <w:p>
      <w:pPr>
        <w:ind w:left="420"/>
      </w:pPr>
      <w:r>
        <w:t xml:space="preserve">3. eine Erklärung der AIF-Kapitalverwaltungsgesellschaft, dass sie sich entsprechend Nummer 2 Buchstabe b verpflichtet;</w:t>
      </w:r>
    </w:p>
    <w:p>
      <w:pPr>
        <w:ind w:left="420"/>
      </w:pPr>
      <w:r>
        <w:t xml:space="preserve">4. ein Nachweis über die Zahlung der Gebühr für die Anzeige.</w:t>
      </w:r>
    </w:p>
    <w:p>
      <w:r>
        <w:t xml:space="preserve">(3) Ist der angezeigte AIF ein Feeder-AIF,</w:t>
      </w:r>
    </w:p>
    <w:p>
      <w:pPr>
        <w:ind w:left="420"/>
      </w:pPr>
      <w:r>
        <w:t xml:space="preserve">1. sind der Anzeige zusätzlich in Bezug auf den Master-AIF und seine Verwaltungsgesellschaft Angaben und Dokumente entsprechend</w:t>
      </w:r>
    </w:p>
    <w:p>
      <w:pPr>
        <w:ind w:left="780"/>
      </w:pPr>
      <w:r>
        <w:t xml:space="preserve">a) Absatz 2 Satz 3 Nummer 1 oder, sofern es sich bei der Verwaltungsgesellschaft des Master-AIF um eine ausländische AIF-Verwaltungsgesellschaft handelt, Angaben und Dokumente entsprechend § 22 Absatz 1 Nummer 1 bis 9 und 13, und alle weiteren wesentlichen Angaben über die Verwahrstelle oder die Stellen nach Absatz 1 Satz 1 Nummer 1 Buchstabe b sowie</w:t>
      </w:r>
    </w:p>
    <w:p>
      <w:pPr>
        <w:ind w:left="780"/>
      </w:pPr>
      <w:r>
        <w:t xml:space="preserve">b) § 321 Absatz 1 Satz 2</w:t>
      </w:r>
    </w:p>
    <w:p>
      <w:pPr>
        <w:ind w:left="420"/>
      </w:pPr>
      <w:r>
        <w:t xml:space="preserve">beizufügen und</w:t>
      </w:r>
    </w:p>
    <w:p>
      <w:pPr>
        <w:ind w:left="420"/>
      </w:pPr>
      <w:r>
        <w:t xml:space="preserve">2. muss sich die Erklärung nach Absatz 2 Satz 3 Nummer 2 oder 3 auch auf den Master-AIF und seine Verwaltungsgesellschaft erstrecken.</w:t>
      </w:r>
    </w:p>
    <w:p>
      <w:r>
        <w:t xml:space="preserve">(4) Fremdsprachige Unterlagen sind in deutscher Übersetzung oder in englischer Sprache vorzulegen. § 321 Absatz 2 und 3 Satz 1 bis 4 gilt entsprechend mit der Maßgabe, dass es statt „AIF-Kapitalverwaltungsgesellschaft“ „AIF-Kapitalverwaltungsgesellschaft oder EU-AIF-Verwaltungsgesellschaft“ heißen muss und dass die in § 321 Absatz 3 Satz 1 genannte Frist 30 Arbeitstage und für den Fall, dass der angezeigte AIF ein Feeder-AIF ist,</w:t>
      </w:r>
    </w:p>
    <w:p>
      <w:pPr>
        <w:ind w:left="420"/>
      </w:pPr>
      <w:r>
        <w:t xml:space="preserve">1. dessen Master-AIF nicht von einer ausländischen AIF-Verwaltungsgesellschaft verwaltet wird, zwei Monate,</w:t>
      </w:r>
    </w:p>
    <w:p>
      <w:pPr>
        <w:ind w:left="420"/>
      </w:pPr>
      <w:r>
        <w:t xml:space="preserve">2. dessen Master-AIF von einer ausländischen AIF-Verwaltungsgesellschaft verwaltet wird, fünf Monate</w:t>
      </w:r>
    </w:p>
    <w:p>
      <w:r>
        <w:t xml:space="preserve">beträgt.</w:t>
      </w:r>
    </w:p>
    <w:p>
      <w:r>
        <w:rPr>
          <w:color w:val="555555"/>
          <w:sz w:val="17"/>
        </w:rPr>
        <w:t xml:space="preserve">Zitiervorschlag: § 329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329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