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 KAGB — Anzeigepflicht einer ausländischen AIF-Verwaltungsgesellschaft, deren Referenzmitgliedstaat nicht die Bundesrepublik Deutschland ist, beim beabsichtigten Vertrieb von EU-AIF oder von inländischen Spezial-AIF an semiprofessionelle und professionelle Anleger im Inland</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Beabsichtigt eine ausländische AIF-Verwaltungsgesellschaft, deren Referenzmitgliedstaat gemäß Artikel 37 Absatz 4 der Richtlinie 2011/61/EU ein anderer Mitgliedstaat der Europäischen Union oder ein anderer Vertragsstaat des Abkommens über den Europäischen Wirtschaftsraum als die Bundesrepublik Deutschland ist, im Geltungsbereich dieses Gesetzes Anteile oder Aktien an EU-AIF oder inländische Spezial-AIF an semiprofessionelle oder professionelle Anleger im Geltungsbereich dieses Gesetzes zu vertreiben, so prüft die Bundesanstalt, ob die zuständige Stelle des Referenzmitgliedstaates der ausländischen AIF-Verwaltungsgesellschaft Folgendes übermittelt hat:</w:t>
      </w:r>
    </w:p>
    <w:p>
      <w:pPr>
        <w:ind w:left="420"/>
      </w:pPr>
      <w:r>
        <w:t xml:space="preserve">1. eine von ihr ausgestellte Bescheinigung über die Erlaubnis der betreffenden ausländischen AIF-Verwaltungsgesellschaft zur Verwaltung von AIF mit einer bestimmten Anlagestrategie und</w:t>
      </w:r>
    </w:p>
    <w:p>
      <w:pPr>
        <w:ind w:left="420"/>
      </w:pPr>
      <w:r>
        <w:t xml:space="preserve">2. ein Anzeigeschreiben für jeden angezeigten AIF,</w:t>
      </w:r>
    </w:p>
    <w:p>
      <w:r>
        <w:t xml:space="preserve">jeweils in einer in der internationalen Finanzwelt gebräuchlichen Sprache. Für den Inhalt des Anzeigeschreibens einschließlich der erforderlichen Dokumentation und Angaben gilt § 321 Absatz 1 Satz 2 entsprechend mit der Maßgabe, dass es statt „AIF-Kapitalverwaltungsgesellschaft“ „ausländische AIF-Verwaltungsgesellschaft“ heißen muss, die Vorkehrungen zum Vertrieb des angezeigten AIF angegeben sein müssen und die Bundesrepublik Deutschland als Staat genannt sein muss, in dem Anteile oder Aktien des angezeigten AIF an professionelle Anleger vertrieben werden sollen.</w:t>
      </w:r>
    </w:p>
    <w:p>
      <w:r>
        <w:t xml:space="preserve">(2) Der Vertrieb kann aufgenommen werden, wenn die ausländische AIF-Verwaltungsgesellschaft von der zuständigen Stelle ihres Referenzmitgliedstaates über die Übermittlung nach Absatz 1 unterrichtet wurde. § 323 Absatz 2 Satz 3 und Absatz 3 ist entsprechend anzuwenden.</w:t>
      </w:r>
    </w:p>
    <w:p>
      <w:r>
        <w:rPr>
          <w:color w:val="555555"/>
          <w:sz w:val="17"/>
        </w:rPr>
        <w:t xml:space="preserve">Zitiervorschlag: § 327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