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326 KAGB — Anzeigepflicht einer ausländischen AIF-Verwaltungsgesellschaft, deren Referenzmitgliedstaat die Bundesrepublik Deutschland ist, beim beabsichtigten Vertrieb von ausländischen AIF an semiprofessionelle und professionelle Anleger im Inland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Vertrieb von Anteilen oder Aktien an ausländischen AIF an semiprofessionelle oder professionelle Anleger im Geltungsbereich dieses Gesetzes durch eine ausländische AIF-Verwaltungsgesellschaft, deren Referenzmitgliedstaat gemäß Artikel 37 Absatz 4 der Richtlinie 2011/61/EU die Bundesrepublik Deutschland ist, ist nur zulässig, wenn die in § 322 Absatz 1 genannten Voraussetzungen gegeben sind.</w:t>
      </w:r>
    </w:p>
    <w:p>
      <w:r>
        <w:t xml:space="preserve">(2) Beabsichtigt eine ausländische AIF-Verwaltungsgesellschaft, deren Referenzmitgliedstaat gemäß § 56 die Bundesrepublik Deutschland ist und die von der Bundesanstalt eine Erlaubnis nach § 58 erhalten hat, Anteile oder Aktien an einem von ihr verwalteten ausländischen AIF im Geltungsbereich dieses Gesetzes an semiprofessionelle oder professionelle Anleger zu vertreiben, hat sie dies der Bundesanstalt anzuzeigen. § 321 Absatz 1 Satz 2 gilt entsprechend mit der Maßgabe, dass es statt „AIF-Kapitalverwaltungsgesellschaft“ „ausländische AIF-Verwaltungsgesellschaft“ heißen muss.</w:t>
      </w:r>
    </w:p>
    <w:p>
      <w:r>
        <w:t xml:space="preserve">(3) § 322 Absatz 3, 4 Satz 1 und 2 und Absatz 5 gilt entsprechend mit der Maßgabe, dass es statt „AIF-Kapitalverwaltungsgesellschaft“ „ausländische AIF-Verwaltungsgesellschaft“ heißen muss.</w:t>
      </w:r>
    </w:p>
    <w:p>
      <w:r>
        <w:rPr>
          <w:color w:val="555555"/>
          <w:sz w:val="17"/>
        </w:rPr>
        <w:t xml:space="preserve">Zitiervorschlag: § 326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